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Times New Roman" w:hAnsi="Times New Roman" w:cs="Times New Roman"/>
          <w:b/>
          <w:kern w:val="0"/>
          <w:sz w:val="44"/>
          <w:szCs w:val="44"/>
        </w:rPr>
      </w:pPr>
      <w:bookmarkStart w:id="0" w:name="_Toc286779362"/>
    </w:p>
    <w:p>
      <w:pPr>
        <w:jc w:val="center"/>
        <w:rPr>
          <w:rFonts w:ascii="宋体" w:hAnsi="宋体" w:cs="Times New Roman"/>
          <w:b/>
          <w:bCs/>
          <w:sz w:val="52"/>
          <w:szCs w:val="52"/>
        </w:rPr>
      </w:pPr>
      <w:r>
        <w:rPr>
          <w:rFonts w:ascii="宋体" w:hAnsi="宋体" w:cs="Times New Roman"/>
          <w:b/>
          <w:bCs/>
          <w:sz w:val="52"/>
          <w:szCs w:val="52"/>
        </w:rPr>
        <w:t>鲁山县</w:t>
      </w:r>
      <w:r>
        <w:rPr>
          <w:rFonts w:hint="eastAsia" w:ascii="宋体" w:hAnsi="宋体" w:cs="Times New Roman"/>
          <w:b/>
          <w:bCs/>
          <w:sz w:val="52"/>
          <w:szCs w:val="52"/>
          <w:lang w:eastAsia="zh-CN"/>
        </w:rPr>
        <w:t>润达</w:t>
      </w:r>
      <w:r>
        <w:rPr>
          <w:rFonts w:hint="eastAsia" w:ascii="宋体" w:hAnsi="宋体" w:cs="Times New Roman"/>
          <w:b/>
          <w:bCs/>
          <w:sz w:val="52"/>
          <w:szCs w:val="52"/>
        </w:rPr>
        <w:t>加油站</w:t>
      </w:r>
      <w:r>
        <w:rPr>
          <w:rFonts w:ascii="宋体" w:hAnsi="宋体" w:cs="Times New Roman"/>
          <w:b/>
          <w:bCs/>
          <w:sz w:val="52"/>
          <w:szCs w:val="52"/>
        </w:rPr>
        <w:t>项目</w:t>
      </w:r>
    </w:p>
    <w:p>
      <w:pPr>
        <w:jc w:val="center"/>
        <w:rPr>
          <w:rFonts w:ascii="宋体" w:hAnsi="宋体" w:cs="Times New Roman"/>
          <w:b/>
          <w:bCs/>
          <w:spacing w:val="-12"/>
          <w:sz w:val="44"/>
          <w:szCs w:val="44"/>
        </w:rPr>
      </w:pPr>
    </w:p>
    <w:p>
      <w:pPr>
        <w:jc w:val="center"/>
        <w:rPr>
          <w:rFonts w:ascii="宋体" w:hAnsi="宋体" w:cs="Times New Roman"/>
          <w:b/>
          <w:bCs/>
          <w:sz w:val="52"/>
          <w:szCs w:val="52"/>
        </w:rPr>
      </w:pPr>
      <w:r>
        <w:rPr>
          <w:rFonts w:ascii="宋体" w:hAnsi="宋体" w:cs="Times New Roman"/>
          <w:b/>
          <w:bCs/>
          <w:sz w:val="52"/>
          <w:szCs w:val="52"/>
        </w:rPr>
        <w:t>环境风险专项分析报告</w:t>
      </w:r>
    </w:p>
    <w:p>
      <w:pPr>
        <w:jc w:val="center"/>
        <w:rPr>
          <w:rFonts w:ascii="Times New Roman" w:hAnsi="Times New Roman" w:cs="Times New Roman"/>
          <w:bCs/>
          <w:spacing w:val="-12"/>
          <w:sz w:val="44"/>
          <w:szCs w:val="44"/>
        </w:rPr>
      </w:pPr>
    </w:p>
    <w:p>
      <w:pPr>
        <w:jc w:val="center"/>
        <w:rPr>
          <w:rFonts w:ascii="Times New Roman" w:hAnsi="Times New Roman" w:cs="Times New Roman"/>
          <w:bCs/>
          <w:spacing w:val="-12"/>
          <w:sz w:val="44"/>
          <w:szCs w:val="44"/>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jc w:val="center"/>
        <w:rPr>
          <w:rFonts w:ascii="Times New Roman" w:hAnsi="Times New Roman" w:cs="Times New Roman"/>
          <w:bCs/>
          <w:spacing w:val="-12"/>
          <w:sz w:val="32"/>
          <w:szCs w:val="32"/>
        </w:rPr>
      </w:pPr>
    </w:p>
    <w:p>
      <w:pPr>
        <w:adjustRightInd w:val="0"/>
        <w:snapToGrid w:val="0"/>
        <w:spacing w:line="360" w:lineRule="auto"/>
        <w:jc w:val="center"/>
        <w:rPr>
          <w:rFonts w:ascii="Times New Roman" w:hAnsi="Times New Roman" w:cs="Times New Roman"/>
          <w:b/>
          <w:color w:val="auto"/>
          <w:kern w:val="0"/>
          <w:sz w:val="28"/>
          <w:szCs w:val="28"/>
        </w:rPr>
      </w:pPr>
      <w:r>
        <w:rPr>
          <w:rFonts w:hint="eastAsia" w:ascii="Times New Roman" w:hAnsi="Times New Roman" w:cs="Times New Roman"/>
          <w:b/>
          <w:color w:val="auto"/>
          <w:kern w:val="0"/>
          <w:sz w:val="28"/>
          <w:szCs w:val="28"/>
        </w:rPr>
        <w:t>河南</w:t>
      </w:r>
      <w:r>
        <w:rPr>
          <w:rFonts w:hint="eastAsia" w:ascii="Times New Roman" w:hAnsi="Times New Roman" w:cs="Times New Roman"/>
          <w:b/>
          <w:color w:val="auto"/>
          <w:kern w:val="0"/>
          <w:sz w:val="28"/>
          <w:szCs w:val="28"/>
          <w:lang w:eastAsia="zh-CN"/>
        </w:rPr>
        <w:t>科瑞达环保科技</w:t>
      </w:r>
      <w:r>
        <w:rPr>
          <w:rFonts w:ascii="Times New Roman" w:hAnsi="Times New Roman" w:cs="Times New Roman"/>
          <w:b/>
          <w:color w:val="auto"/>
          <w:kern w:val="0"/>
          <w:sz w:val="28"/>
          <w:szCs w:val="28"/>
        </w:rPr>
        <w:t>有限公司</w:t>
      </w:r>
    </w:p>
    <w:p>
      <w:pPr>
        <w:adjustRightInd w:val="0"/>
        <w:snapToGrid w:val="0"/>
        <w:spacing w:line="360" w:lineRule="auto"/>
        <w:jc w:val="center"/>
        <w:rPr>
          <w:rFonts w:ascii="Times New Roman" w:hAnsi="Times New Roman" w:cs="Times New Roman"/>
          <w:b/>
          <w:kern w:val="0"/>
          <w:sz w:val="28"/>
          <w:szCs w:val="28"/>
        </w:rPr>
      </w:pPr>
      <w:r>
        <w:rPr>
          <w:rFonts w:hint="eastAsia" w:ascii="Times New Roman" w:hAnsi="Times New Roman" w:cs="Times New Roman"/>
          <w:b/>
          <w:kern w:val="0"/>
          <w:sz w:val="28"/>
          <w:szCs w:val="28"/>
          <w:lang w:val="en-US" w:eastAsia="zh-CN"/>
        </w:rPr>
        <w:t>2020</w:t>
      </w:r>
      <w:r>
        <w:rPr>
          <w:rFonts w:ascii="Times New Roman" w:hAnsi="Times New Roman" w:cs="Times New Roman"/>
          <w:b/>
          <w:kern w:val="0"/>
          <w:sz w:val="28"/>
          <w:szCs w:val="28"/>
        </w:rPr>
        <w:t>年</w:t>
      </w:r>
      <w:r>
        <w:rPr>
          <w:rFonts w:hint="eastAsia" w:ascii="Times New Roman" w:hAnsi="Times New Roman" w:cs="Times New Roman"/>
          <w:b/>
          <w:kern w:val="0"/>
          <w:sz w:val="28"/>
          <w:szCs w:val="28"/>
          <w:lang w:val="en-US" w:eastAsia="zh-CN"/>
        </w:rPr>
        <w:t>12</w:t>
      </w:r>
      <w:bookmarkStart w:id="8" w:name="_GoBack"/>
      <w:bookmarkEnd w:id="8"/>
      <w:r>
        <w:rPr>
          <w:rFonts w:ascii="Times New Roman" w:hAnsi="Times New Roman" w:cs="Times New Roman"/>
          <w:b/>
          <w:kern w:val="0"/>
          <w:sz w:val="28"/>
          <w:szCs w:val="28"/>
        </w:rPr>
        <w:t>月</w:t>
      </w:r>
    </w:p>
    <w:p>
      <w:pPr>
        <w:adjustRightInd w:val="0"/>
        <w:snapToGrid w:val="0"/>
        <w:spacing w:line="360" w:lineRule="auto"/>
        <w:jc w:val="center"/>
        <w:rPr>
          <w:rFonts w:ascii="Times New Roman" w:hAnsi="Times New Roman" w:cs="Times New Roman"/>
          <w:b/>
          <w:kern w:val="0"/>
          <w:sz w:val="28"/>
          <w:szCs w:val="28"/>
        </w:rPr>
      </w:pPr>
    </w:p>
    <w:p>
      <w:pPr>
        <w:adjustRightInd w:val="0"/>
        <w:snapToGrid w:val="0"/>
        <w:spacing w:line="360" w:lineRule="auto"/>
        <w:jc w:val="center"/>
        <w:rPr>
          <w:rFonts w:ascii="Times New Roman" w:hAnsi="Times New Roman" w:cs="Times New Roman"/>
          <w:b/>
          <w:kern w:val="0"/>
          <w:sz w:val="28"/>
          <w:szCs w:val="28"/>
        </w:rPr>
      </w:pPr>
    </w:p>
    <w:bookmarkEnd w:id="0"/>
    <w:p>
      <w:pPr>
        <w:adjustRightInd w:val="0"/>
        <w:snapToGrid w:val="0"/>
        <w:spacing w:line="560" w:lineRule="exact"/>
        <w:jc w:val="center"/>
        <w:rPr>
          <w:rFonts w:ascii="Times New Roman" w:hAnsi="宋体" w:cs="Times New Roman"/>
          <w:b/>
          <w:bCs/>
          <w:sz w:val="30"/>
          <w:szCs w:val="30"/>
        </w:rPr>
        <w:sectPr>
          <w:footerReference r:id="rId3" w:type="default"/>
          <w:pgSz w:w="11906" w:h="16838"/>
          <w:pgMar w:top="1701" w:right="1588" w:bottom="1701" w:left="1588" w:header="851" w:footer="1247" w:gutter="284"/>
          <w:pgNumType w:start="1"/>
          <w:cols w:space="720" w:num="1"/>
          <w:docGrid w:type="lines" w:linePitch="312" w:charSpace="0"/>
        </w:sectPr>
      </w:pPr>
      <w:bookmarkStart w:id="1" w:name="_Toc212527132"/>
    </w:p>
    <w:p>
      <w:pPr>
        <w:adjustRightInd w:val="0"/>
        <w:snapToGrid w:val="0"/>
        <w:spacing w:line="560" w:lineRule="exact"/>
        <w:jc w:val="center"/>
        <w:rPr>
          <w:rFonts w:ascii="Times New Roman" w:hAnsi="Times New Roman" w:cs="Times New Roman"/>
          <w:b/>
          <w:bCs/>
          <w:sz w:val="30"/>
          <w:szCs w:val="30"/>
        </w:rPr>
      </w:pPr>
      <w:r>
        <w:rPr>
          <w:rFonts w:ascii="Times New Roman" w:hAnsi="宋体" w:cs="Times New Roman"/>
          <w:b/>
          <w:bCs/>
          <w:sz w:val="30"/>
          <w:szCs w:val="30"/>
        </w:rPr>
        <w:t>环境风险专项分析</w:t>
      </w:r>
    </w:p>
    <w:p>
      <w:pPr>
        <w:pStyle w:val="5"/>
        <w:adjustRightInd w:val="0"/>
        <w:snapToGrid w:val="0"/>
        <w:spacing w:line="600" w:lineRule="exact"/>
        <w:rPr>
          <w:rFonts w:ascii="Times New Roman" w:hAnsi="Times New Roman" w:cs="Times New Roman"/>
          <w:b/>
          <w:bCs/>
          <w:sz w:val="24"/>
        </w:rPr>
      </w:pPr>
      <w:r>
        <w:rPr>
          <w:rFonts w:ascii="Times New Roman" w:hAnsi="Times New Roman" w:cs="Times New Roman"/>
          <w:b/>
          <w:bCs/>
          <w:sz w:val="24"/>
        </w:rPr>
        <w:t>1、</w:t>
      </w:r>
      <w:r>
        <w:rPr>
          <w:rFonts w:hint="eastAsia" w:ascii="Times New Roman" w:hAnsi="Times New Roman" w:cs="Times New Roman"/>
          <w:b/>
          <w:bCs/>
          <w:sz w:val="24"/>
        </w:rPr>
        <w:t>项目概况</w:t>
      </w:r>
    </w:p>
    <w:p>
      <w:pPr>
        <w:adjustRightInd w:val="0"/>
        <w:snapToGrid w:val="0"/>
        <w:spacing w:line="500" w:lineRule="exact"/>
        <w:ind w:firstLine="480" w:firstLineChars="200"/>
        <w:rPr>
          <w:rFonts w:hint="eastAsia" w:ascii="Times New Roman" w:hAnsi="Times New Roman"/>
          <w:sz w:val="24"/>
          <w:szCs w:val="24"/>
        </w:rPr>
      </w:pPr>
      <w:r>
        <w:rPr>
          <w:rFonts w:ascii="Times New Roman" w:hAnsi="Times New Roman"/>
          <w:kern w:val="0"/>
          <w:sz w:val="24"/>
          <w:szCs w:val="24"/>
        </w:rPr>
        <w:t>鲁山县</w:t>
      </w:r>
      <w:r>
        <w:rPr>
          <w:rFonts w:hint="eastAsia" w:ascii="Times New Roman" w:hAnsi="Times New Roman"/>
          <w:kern w:val="0"/>
          <w:sz w:val="24"/>
          <w:szCs w:val="24"/>
          <w:lang w:eastAsia="zh-CN"/>
        </w:rPr>
        <w:t>润达</w:t>
      </w:r>
      <w:r>
        <w:rPr>
          <w:rFonts w:ascii="Times New Roman" w:hAnsi="Times New Roman"/>
          <w:kern w:val="0"/>
          <w:sz w:val="24"/>
          <w:szCs w:val="24"/>
        </w:rPr>
        <w:t>加油站</w:t>
      </w:r>
      <w:r>
        <w:rPr>
          <w:rFonts w:ascii="Times New Roman" w:hAnsi="Times New Roman"/>
          <w:sz w:val="24"/>
        </w:rPr>
        <w:t>拟投资</w:t>
      </w:r>
      <w:r>
        <w:rPr>
          <w:rFonts w:hint="eastAsia" w:ascii="Times New Roman" w:hAnsi="Times New Roman"/>
          <w:sz w:val="24"/>
          <w:lang w:val="en-US" w:eastAsia="zh-CN"/>
        </w:rPr>
        <w:t>80</w:t>
      </w:r>
      <w:r>
        <w:rPr>
          <w:rFonts w:ascii="Times New Roman" w:hAnsi="Times New Roman"/>
          <w:sz w:val="24"/>
        </w:rPr>
        <w:t>万元于</w:t>
      </w:r>
      <w:r>
        <w:rPr>
          <w:rFonts w:ascii="Times New Roman" w:hAnsi="Times New Roman"/>
          <w:bCs/>
          <w:color w:val="000000"/>
          <w:sz w:val="24"/>
          <w:szCs w:val="24"/>
        </w:rPr>
        <w:t>河南省平顶山市</w:t>
      </w:r>
      <w:r>
        <w:rPr>
          <w:rFonts w:hint="eastAsia" w:ascii="Times New Roman" w:hAnsi="Times New Roman"/>
          <w:bCs/>
          <w:color w:val="000000"/>
          <w:sz w:val="24"/>
          <w:szCs w:val="24"/>
          <w:lang w:eastAsia="zh-CN"/>
        </w:rPr>
        <w:t>鲁山县磙子营乡井泉村</w:t>
      </w:r>
      <w:r>
        <w:rPr>
          <w:rFonts w:ascii="Times New Roman" w:hAnsi="Times New Roman"/>
          <w:sz w:val="24"/>
        </w:rPr>
        <w:t>建设</w:t>
      </w:r>
      <w:r>
        <w:rPr>
          <w:rFonts w:ascii="Times New Roman" w:hAnsi="Times New Roman"/>
          <w:kern w:val="0"/>
          <w:sz w:val="24"/>
          <w:szCs w:val="24"/>
        </w:rPr>
        <w:t>鲁山县</w:t>
      </w:r>
      <w:r>
        <w:rPr>
          <w:rFonts w:hint="eastAsia" w:ascii="Times New Roman" w:hAnsi="Times New Roman"/>
          <w:kern w:val="0"/>
          <w:sz w:val="24"/>
          <w:szCs w:val="24"/>
          <w:lang w:eastAsia="zh-CN"/>
        </w:rPr>
        <w:t>润达</w:t>
      </w:r>
      <w:r>
        <w:rPr>
          <w:rFonts w:ascii="Times New Roman" w:hAnsi="Times New Roman"/>
          <w:kern w:val="0"/>
          <w:sz w:val="24"/>
          <w:szCs w:val="24"/>
        </w:rPr>
        <w:t>加油站</w:t>
      </w:r>
      <w:r>
        <w:rPr>
          <w:rFonts w:ascii="Times New Roman" w:hAnsi="Times New Roman"/>
          <w:sz w:val="24"/>
        </w:rPr>
        <w:t>，本项目占地面积</w:t>
      </w:r>
      <w:r>
        <w:rPr>
          <w:rFonts w:hint="eastAsia" w:ascii="Times New Roman" w:hAnsi="Times New Roman"/>
          <w:sz w:val="24"/>
          <w:lang w:val="en-US" w:eastAsia="zh-CN"/>
        </w:rPr>
        <w:t>1441.1</w:t>
      </w:r>
      <w:r>
        <w:rPr>
          <w:rFonts w:ascii="Times New Roman" w:hAnsi="Times New Roman"/>
          <w:sz w:val="24"/>
        </w:rPr>
        <w:t>m</w:t>
      </w:r>
      <w:r>
        <w:rPr>
          <w:rFonts w:ascii="Times New Roman" w:hAnsi="Times New Roman"/>
          <w:sz w:val="24"/>
          <w:vertAlign w:val="superscript"/>
        </w:rPr>
        <w:t>2</w:t>
      </w:r>
      <w:r>
        <w:rPr>
          <w:rFonts w:ascii="Times New Roman" w:hAnsi="Times New Roman"/>
          <w:sz w:val="24"/>
        </w:rPr>
        <w:t>，主要建设加油棚、罐区、站房等，</w:t>
      </w:r>
      <w:r>
        <w:rPr>
          <w:rFonts w:hint="eastAsia" w:ascii="Times New Roman" w:hAnsi="Times New Roman"/>
          <w:sz w:val="24"/>
          <w:lang w:eastAsia="zh-CN"/>
        </w:rPr>
        <w:t>站房建筑面积</w:t>
      </w:r>
      <w:r>
        <w:rPr>
          <w:rFonts w:hint="eastAsia" w:ascii="Times New Roman" w:hAnsi="Times New Roman"/>
          <w:sz w:val="24"/>
          <w:lang w:val="en-US" w:eastAsia="zh-CN"/>
        </w:rPr>
        <w:t>131平方米，罩棚投影面积287.5平方米</w:t>
      </w:r>
      <w:r>
        <w:rPr>
          <w:rFonts w:ascii="Times New Roman" w:hAnsi="Times New Roman"/>
          <w:sz w:val="24"/>
        </w:rPr>
        <w:t>。</w:t>
      </w:r>
      <w:bookmarkStart w:id="2" w:name="OLE_LINK22"/>
      <w:bookmarkStart w:id="3" w:name="OLE_LINK19"/>
      <w:r>
        <w:rPr>
          <w:rFonts w:ascii="Times New Roman" w:hAnsi="Times New Roman"/>
          <w:sz w:val="24"/>
        </w:rPr>
        <w:t>项目主要建设</w:t>
      </w:r>
      <w:r>
        <w:rPr>
          <w:rFonts w:hint="eastAsia" w:ascii="Times New Roman" w:hAnsi="Times New Roman"/>
          <w:sz w:val="24"/>
          <w:lang w:val="en-US" w:eastAsia="zh-CN"/>
        </w:rPr>
        <w:t>2</w:t>
      </w:r>
      <w:r>
        <w:rPr>
          <w:rFonts w:ascii="Times New Roman" w:hAnsi="Times New Roman"/>
          <w:sz w:val="24"/>
        </w:rPr>
        <w:t>座埋地双层卧式储油罐，其中</w:t>
      </w:r>
      <w:r>
        <w:rPr>
          <w:rFonts w:hint="eastAsia" w:ascii="Times New Roman" w:hAnsi="Times New Roman"/>
          <w:sz w:val="24"/>
          <w:lang w:val="en-US" w:eastAsia="zh-CN"/>
        </w:rPr>
        <w:t>1</w:t>
      </w:r>
      <w:r>
        <w:rPr>
          <w:rFonts w:ascii="Times New Roman" w:hAnsi="Times New Roman"/>
          <w:sz w:val="24"/>
        </w:rPr>
        <w:t>座</w:t>
      </w:r>
      <w:r>
        <w:rPr>
          <w:rFonts w:hint="eastAsia" w:ascii="Times New Roman" w:hAnsi="Times New Roman"/>
          <w:sz w:val="24"/>
          <w:lang w:val="en-US" w:eastAsia="zh-CN"/>
        </w:rPr>
        <w:t>25</w:t>
      </w:r>
      <w:r>
        <w:rPr>
          <w:rFonts w:ascii="Times New Roman" w:hAnsi="Times New Roman"/>
          <w:sz w:val="24"/>
        </w:rPr>
        <w:t>m</w:t>
      </w:r>
      <w:r>
        <w:rPr>
          <w:rFonts w:ascii="Times New Roman" w:hAnsi="Times New Roman"/>
          <w:sz w:val="24"/>
          <w:vertAlign w:val="superscript"/>
        </w:rPr>
        <w:t>3</w:t>
      </w:r>
      <w:r>
        <w:rPr>
          <w:rFonts w:ascii="Times New Roman" w:hAnsi="Times New Roman"/>
          <w:sz w:val="24"/>
        </w:rPr>
        <w:t>汽油罐，</w:t>
      </w:r>
      <w:r>
        <w:rPr>
          <w:rFonts w:hint="eastAsia" w:ascii="Times New Roman" w:hAnsi="Times New Roman"/>
          <w:sz w:val="24"/>
          <w:lang w:val="en-US" w:eastAsia="zh-CN"/>
        </w:rPr>
        <w:t>1</w:t>
      </w:r>
      <w:r>
        <w:rPr>
          <w:rFonts w:ascii="Times New Roman" w:hAnsi="Times New Roman"/>
          <w:sz w:val="24"/>
        </w:rPr>
        <w:t>座</w:t>
      </w:r>
      <w:r>
        <w:rPr>
          <w:rFonts w:hint="eastAsia" w:ascii="Times New Roman" w:hAnsi="Times New Roman"/>
          <w:sz w:val="24"/>
          <w:lang w:val="en-US" w:eastAsia="zh-CN"/>
        </w:rPr>
        <w:t>25</w:t>
      </w:r>
      <w:r>
        <w:rPr>
          <w:rFonts w:ascii="Times New Roman" w:hAnsi="Times New Roman"/>
          <w:sz w:val="24"/>
        </w:rPr>
        <w:t>m</w:t>
      </w:r>
      <w:r>
        <w:rPr>
          <w:rFonts w:ascii="Times New Roman" w:hAnsi="Times New Roman"/>
          <w:sz w:val="24"/>
          <w:vertAlign w:val="superscript"/>
        </w:rPr>
        <w:t>3</w:t>
      </w:r>
      <w:r>
        <w:rPr>
          <w:rFonts w:ascii="Times New Roman" w:hAnsi="Times New Roman"/>
          <w:sz w:val="24"/>
        </w:rPr>
        <w:t>柴油罐</w:t>
      </w:r>
      <w:bookmarkEnd w:id="2"/>
      <w:r>
        <w:rPr>
          <w:rFonts w:ascii="Times New Roman" w:hAnsi="Times New Roman"/>
          <w:sz w:val="24"/>
        </w:rPr>
        <w:t>。根据《汽车加油加气站设计与施工规范》（GB50156-2012）（2014年局部修订版）第3.0.9条中加油站等级划分的规定，本项目油罐总容</w:t>
      </w:r>
      <w:r>
        <w:rPr>
          <w:rFonts w:ascii="Times New Roman" w:hAnsi="Times New Roman"/>
          <w:sz w:val="24"/>
          <w:szCs w:val="24"/>
        </w:rPr>
        <w:t>积为</w:t>
      </w:r>
      <w:r>
        <w:rPr>
          <w:rFonts w:hint="eastAsia" w:ascii="Times New Roman" w:hAnsi="Times New Roman"/>
          <w:sz w:val="24"/>
          <w:szCs w:val="24"/>
          <w:lang w:val="en-US" w:eastAsia="zh-CN"/>
        </w:rPr>
        <w:t>37.5</w:t>
      </w:r>
      <w:r>
        <w:rPr>
          <w:rFonts w:ascii="Times New Roman" w:hAnsi="Times New Roman"/>
          <w:sz w:val="24"/>
          <w:szCs w:val="24"/>
        </w:rPr>
        <w:t>m</w:t>
      </w:r>
      <w:r>
        <w:rPr>
          <w:rFonts w:ascii="Times New Roman" w:hAnsi="Times New Roman"/>
          <w:sz w:val="24"/>
          <w:szCs w:val="24"/>
          <w:vertAlign w:val="superscript"/>
        </w:rPr>
        <w:t>3</w:t>
      </w:r>
      <w:r>
        <w:rPr>
          <w:rFonts w:ascii="Times New Roman" w:hAnsi="Times New Roman"/>
          <w:sz w:val="24"/>
          <w:szCs w:val="24"/>
        </w:rPr>
        <w:t>（</w:t>
      </w:r>
      <w:r>
        <w:rPr>
          <w:rFonts w:ascii="Times New Roman" w:hAnsi="Times New Roman"/>
          <w:color w:val="000000"/>
          <w:spacing w:val="10"/>
          <w:sz w:val="24"/>
          <w:szCs w:val="24"/>
        </w:rPr>
        <w:t>柴油罐容积折半计入油罐总容积</w:t>
      </w:r>
      <w:r>
        <w:rPr>
          <w:rFonts w:ascii="Times New Roman" w:hAnsi="Times New Roman"/>
          <w:sz w:val="24"/>
          <w:szCs w:val="24"/>
        </w:rPr>
        <w:t>），项目属于三级加油站。</w:t>
      </w:r>
      <w:bookmarkEnd w:id="3"/>
    </w:p>
    <w:p>
      <w:pPr>
        <w:pStyle w:val="5"/>
        <w:adjustRightInd w:val="0"/>
        <w:snapToGrid w:val="0"/>
        <w:spacing w:line="600" w:lineRule="exact"/>
        <w:rPr>
          <w:rFonts w:ascii="Times New Roman" w:hAnsi="Times New Roman" w:cs="Times New Roman"/>
          <w:b/>
          <w:bCs/>
          <w:sz w:val="24"/>
        </w:rPr>
      </w:pPr>
      <w:r>
        <w:rPr>
          <w:rFonts w:hint="eastAsia" w:ascii="Times New Roman" w:hAnsi="Times New Roman" w:cs="Times New Roman"/>
          <w:b/>
          <w:bCs/>
          <w:sz w:val="24"/>
        </w:rPr>
        <w:t>2</w:t>
      </w:r>
      <w:r>
        <w:rPr>
          <w:rFonts w:ascii="Times New Roman" w:hAnsi="Times New Roman" w:cs="Times New Roman"/>
          <w:b/>
          <w:bCs/>
          <w:sz w:val="24"/>
        </w:rPr>
        <w:t>、</w:t>
      </w:r>
      <w:bookmarkEnd w:id="1"/>
      <w:r>
        <w:rPr>
          <w:rFonts w:hint="eastAsia" w:ascii="Times New Roman" w:hAnsi="Times New Roman" w:cs="Times New Roman"/>
          <w:b/>
          <w:bCs/>
          <w:sz w:val="24"/>
        </w:rPr>
        <w:t>风险分析</w:t>
      </w:r>
    </w:p>
    <w:p>
      <w:pPr>
        <w:pStyle w:val="5"/>
        <w:adjustRightInd w:val="0"/>
        <w:snapToGrid w:val="0"/>
        <w:spacing w:line="600" w:lineRule="exact"/>
        <w:rPr>
          <w:rFonts w:ascii="Times New Roman" w:hAnsi="Times New Roman" w:cs="Times New Roman"/>
          <w:b/>
          <w:bCs/>
          <w:sz w:val="24"/>
        </w:rPr>
      </w:pPr>
      <w:bookmarkStart w:id="4" w:name="_Toc212527134"/>
      <w:r>
        <w:rPr>
          <w:rFonts w:ascii="Times New Roman" w:hAnsi="Times New Roman" w:cs="Times New Roman"/>
          <w:b/>
          <w:bCs/>
          <w:sz w:val="24"/>
        </w:rPr>
        <w:t>2</w:t>
      </w:r>
      <w:r>
        <w:rPr>
          <w:rFonts w:hint="eastAsia" w:ascii="Times New Roman" w:hAnsi="Times New Roman" w:cs="Times New Roman"/>
          <w:b/>
          <w:bCs/>
          <w:sz w:val="24"/>
        </w:rPr>
        <w:t>.1</w:t>
      </w:r>
      <w:r>
        <w:rPr>
          <w:rFonts w:ascii="Times New Roman" w:hAnsi="Times New Roman" w:cs="Times New Roman"/>
          <w:b/>
          <w:bCs/>
          <w:sz w:val="24"/>
        </w:rPr>
        <w:t>、</w:t>
      </w:r>
      <w:bookmarkEnd w:id="4"/>
      <w:r>
        <w:rPr>
          <w:rFonts w:hint="eastAsia" w:ascii="Times New Roman" w:hAnsi="Times New Roman" w:cs="Times New Roman"/>
          <w:b/>
          <w:bCs/>
          <w:sz w:val="24"/>
        </w:rPr>
        <w:t>评价依据</w:t>
      </w:r>
    </w:p>
    <w:p>
      <w:pPr>
        <w:pStyle w:val="5"/>
        <w:adjustRightInd w:val="0"/>
        <w:snapToGrid w:val="0"/>
        <w:spacing w:line="500" w:lineRule="exact"/>
        <w:rPr>
          <w:rFonts w:ascii="Times New Roman" w:hAnsi="Times New Roman" w:cs="Times New Roman"/>
          <w:bCs/>
          <w:sz w:val="24"/>
        </w:rPr>
      </w:pPr>
      <w:r>
        <w:rPr>
          <w:rFonts w:hint="eastAsia" w:ascii="Times New Roman" w:hAnsi="Times New Roman" w:cs="Times New Roman"/>
          <w:bCs/>
          <w:sz w:val="24"/>
        </w:rPr>
        <w:t>（1）</w:t>
      </w:r>
      <w:r>
        <w:rPr>
          <w:rFonts w:ascii="Times New Roman" w:hAnsi="Times New Roman" w:cs="Times New Roman"/>
          <w:bCs/>
          <w:sz w:val="24"/>
        </w:rPr>
        <w:t>风险</w:t>
      </w:r>
      <w:r>
        <w:rPr>
          <w:rFonts w:hint="eastAsia" w:ascii="Times New Roman" w:hAnsi="Times New Roman" w:cs="Times New Roman"/>
          <w:bCs/>
          <w:sz w:val="24"/>
        </w:rPr>
        <w:t>调查</w:t>
      </w:r>
    </w:p>
    <w:p>
      <w:pPr>
        <w:adjustRightInd w:val="0"/>
        <w:snapToGrid w:val="0"/>
        <w:spacing w:line="500" w:lineRule="exact"/>
        <w:ind w:firstLine="480" w:firstLineChars="200"/>
        <w:rPr>
          <w:rFonts w:ascii="Times New Roman" w:hAnsi="Times New Roman" w:cs="Times New Roman"/>
          <w:sz w:val="24"/>
        </w:rPr>
      </w:pPr>
      <w:r>
        <w:rPr>
          <w:rFonts w:ascii="Times New Roman" w:hAnsi="Times New Roman" w:cs="Times New Roman"/>
          <w:sz w:val="24"/>
        </w:rPr>
        <w:t>本项目</w:t>
      </w:r>
      <w:r>
        <w:rPr>
          <w:rFonts w:hint="eastAsia" w:ascii="Times New Roman" w:hAnsi="Times New Roman" w:cs="Times New Roman"/>
          <w:sz w:val="24"/>
        </w:rPr>
        <w:t>涉及的有毒有害和易燃易爆危险物质主要包括柴油、汽油</w:t>
      </w:r>
      <w:r>
        <w:rPr>
          <w:rFonts w:ascii="Times New Roman" w:hAnsi="Times New Roman" w:cs="Times New Roman"/>
          <w:sz w:val="24"/>
        </w:rPr>
        <w:t>。</w:t>
      </w:r>
    </w:p>
    <w:p>
      <w:pPr>
        <w:adjustRightInd w:val="0"/>
        <w:snapToGrid w:val="0"/>
        <w:spacing w:line="500" w:lineRule="exact"/>
        <w:ind w:firstLine="480" w:firstLineChars="200"/>
        <w:rPr>
          <w:rFonts w:ascii="Times New Roman" w:hAnsi="Times New Roman" w:cs="Times New Roman"/>
          <w:bCs/>
          <w:sz w:val="24"/>
        </w:rPr>
      </w:pPr>
      <w:r>
        <w:rPr>
          <w:rFonts w:ascii="Times New Roman" w:hAnsi="Times New Roman" w:cs="Times New Roman"/>
          <w:sz w:val="24"/>
        </w:rPr>
        <w:t>根据《常用危险化学品的分类及标志》（GB13690-92），汽油属于A3.1低闪点液体（易燃）；</w:t>
      </w:r>
      <w:r>
        <w:rPr>
          <w:rFonts w:ascii="Times New Roman" w:hAnsi="Times New Roman" w:cs="Times New Roman"/>
          <w:bCs/>
          <w:sz w:val="24"/>
        </w:rPr>
        <w:t>根据《危险货物名表》（GB12268-2012），柴油属于第3类易燃液体（编号1202），纳入危险化学品管理。</w:t>
      </w:r>
    </w:p>
    <w:p>
      <w:pPr>
        <w:adjustRightInd w:val="0"/>
        <w:snapToGrid w:val="0"/>
        <w:spacing w:line="500" w:lineRule="exact"/>
        <w:ind w:firstLine="480" w:firstLineChars="200"/>
        <w:rPr>
          <w:rFonts w:ascii="Times New Roman" w:hAnsi="Times New Roman" w:cs="Times New Roman"/>
          <w:sz w:val="24"/>
        </w:rPr>
      </w:pPr>
      <w:r>
        <w:rPr>
          <w:rFonts w:ascii="Times New Roman" w:hAnsi="Times New Roman" w:cs="Times New Roman"/>
          <w:sz w:val="24"/>
        </w:rPr>
        <w:t>汽油的理化性质及危险特性详见表</w:t>
      </w:r>
      <w:r>
        <w:rPr>
          <w:rFonts w:hint="eastAsia" w:ascii="Times New Roman" w:hAnsi="Times New Roman" w:cs="Times New Roman"/>
          <w:sz w:val="24"/>
        </w:rPr>
        <w:t>1</w:t>
      </w:r>
      <w:r>
        <w:rPr>
          <w:rFonts w:ascii="Times New Roman" w:hAnsi="Times New Roman" w:cs="Times New Roman"/>
          <w:sz w:val="24"/>
        </w:rPr>
        <w:t>；柴油的理化性质及危险特性详见表</w:t>
      </w:r>
      <w:r>
        <w:rPr>
          <w:rFonts w:hint="eastAsia" w:ascii="Times New Roman" w:hAnsi="Times New Roman" w:cs="Times New Roman"/>
          <w:sz w:val="24"/>
        </w:rPr>
        <w:t>2</w:t>
      </w:r>
      <w:r>
        <w:rPr>
          <w:rFonts w:ascii="Times New Roman" w:hAnsi="Times New Roman" w:cs="Times New Roman"/>
          <w:sz w:val="24"/>
        </w:rPr>
        <w:t>。</w:t>
      </w:r>
    </w:p>
    <w:p>
      <w:pPr>
        <w:pStyle w:val="22"/>
        <w:numPr>
          <w:ilvl w:val="0"/>
          <w:numId w:val="1"/>
        </w:numPr>
        <w:adjustRightInd w:val="0"/>
        <w:snapToGrid w:val="0"/>
        <w:spacing w:line="500" w:lineRule="exact"/>
        <w:ind w:firstLineChars="0"/>
        <w:rPr>
          <w:rFonts w:ascii="Times New Roman" w:hAnsi="Times New Roman" w:cs="Times New Roman"/>
          <w:b/>
          <w:spacing w:val="6"/>
          <w:szCs w:val="21"/>
        </w:rPr>
      </w:pPr>
      <w:r>
        <w:rPr>
          <w:rFonts w:ascii="Times New Roman" w:hAnsi="Times New Roman" w:cs="Times New Roman"/>
          <w:b/>
          <w:spacing w:val="6"/>
          <w:szCs w:val="21"/>
        </w:rPr>
        <w:t xml:space="preserve">              汽油的理化性质和危险</w:t>
      </w:r>
      <w:r>
        <w:rPr>
          <w:rFonts w:ascii="Times New Roman" w:hAnsi="Times New Roman" w:cs="Times New Roman"/>
          <w:b/>
          <w:bCs/>
          <w:szCs w:val="21"/>
        </w:rPr>
        <w:t>特性</w:t>
      </w:r>
    </w:p>
    <w:tbl>
      <w:tblPr>
        <w:tblStyle w:val="11"/>
        <w:tblW w:w="866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43"/>
        <w:gridCol w:w="842"/>
        <w:gridCol w:w="1547"/>
        <w:gridCol w:w="416"/>
        <w:gridCol w:w="210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6"/>
            <w:vAlign w:val="center"/>
          </w:tcPr>
          <w:p>
            <w:pPr>
              <w:adjustRightInd w:val="0"/>
              <w:snapToGrid w:val="0"/>
              <w:rPr>
                <w:rFonts w:ascii="Times New Roman" w:hAnsi="Times New Roman" w:cs="Times New Roman"/>
                <w:szCs w:val="21"/>
              </w:rPr>
            </w:pPr>
            <w:r>
              <w:rPr>
                <w:rFonts w:ascii="Times New Roman" w:hAnsi="Times New Roman" w:cs="Times New Roman"/>
                <w:szCs w:val="21"/>
              </w:rPr>
              <w:t>第一部分危险性概述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危险性类别：</w:t>
            </w:r>
          </w:p>
        </w:tc>
        <w:tc>
          <w:tcPr>
            <w:tcW w:w="2785"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第3.1类低闪点易燃液体</w:t>
            </w:r>
          </w:p>
        </w:tc>
        <w:tc>
          <w:tcPr>
            <w:tcW w:w="1963"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燃爆危险：</w:t>
            </w:r>
          </w:p>
        </w:tc>
        <w:tc>
          <w:tcPr>
            <w:tcW w:w="210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易燃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侵入途径：</w:t>
            </w:r>
          </w:p>
        </w:tc>
        <w:tc>
          <w:tcPr>
            <w:tcW w:w="2785"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吸入、食入、经皮吸收</w:t>
            </w:r>
          </w:p>
        </w:tc>
        <w:tc>
          <w:tcPr>
            <w:tcW w:w="1963"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有害燃烧产物：</w:t>
            </w:r>
          </w:p>
        </w:tc>
        <w:tc>
          <w:tcPr>
            <w:tcW w:w="210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一氧化碳、二氧化碳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健康危害：</w:t>
            </w:r>
          </w:p>
        </w:tc>
        <w:tc>
          <w:tcPr>
            <w:tcW w:w="6853" w:type="dxa"/>
            <w:gridSpan w:val="5"/>
            <w:vAlign w:val="center"/>
          </w:tcPr>
          <w:p>
            <w:pPr>
              <w:pStyle w:val="10"/>
              <w:adjustRightInd w:val="0"/>
              <w:snapToGrid w:val="0"/>
              <w:spacing w:line="240" w:lineRule="auto"/>
              <w:jc w:val="center"/>
              <w:rPr>
                <w:rFonts w:ascii="Times New Roman" w:hAnsi="Times New Roman" w:cs="Times New Roman"/>
                <w:szCs w:val="21"/>
              </w:rPr>
            </w:pPr>
            <w:r>
              <w:rPr>
                <w:rFonts w:ascii="Times New Roman" w:hAnsi="Times New Roman" w:cs="Times New Roman"/>
                <w:szCs w:val="21"/>
              </w:rPr>
              <w:t>主要作用于中枢神经系统，急性中毒症状有头晕、头痛、恶心、呕吐、步态不稳、共济失调。高浓度吸入出现中毒性脑病。极高浓度吸入引起意识突然丧失，反射性呼吸停止及化学性肺炎。可致角膜溃疡、穿孔、甚至失明。皮肤接触致急性接触性皮炎或过敏性皮炎。急性经口中毒引起急性胃肠炎，重者出现类似急性吸入中毒症状。慢性中毒：神经衰弱综合症，周围神经病，皮肤损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环境危害：</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该物质对环境有危害，应特别注意对地表水、土壤、大气和饮用水的污染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6"/>
            <w:vAlign w:val="center"/>
          </w:tcPr>
          <w:p>
            <w:pPr>
              <w:adjustRightInd w:val="0"/>
              <w:snapToGrid w:val="0"/>
              <w:rPr>
                <w:rFonts w:ascii="Times New Roman" w:hAnsi="Times New Roman" w:cs="Times New Roman"/>
                <w:szCs w:val="21"/>
              </w:rPr>
            </w:pPr>
            <w:r>
              <w:rPr>
                <w:rFonts w:ascii="Times New Roman" w:hAnsi="Times New Roman" w:cs="Times New Roman"/>
                <w:szCs w:val="21"/>
              </w:rPr>
              <w:t>第二部分  理化特性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外观及性状：</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无色或淡黄色易挥发液体，具有特殊臭味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熔点（℃）：</w:t>
            </w:r>
          </w:p>
        </w:tc>
        <w:tc>
          <w:tcPr>
            <w:tcW w:w="1943"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&lt;-60</w:t>
            </w:r>
          </w:p>
        </w:tc>
        <w:tc>
          <w:tcPr>
            <w:tcW w:w="2389"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相对密度（水＝1）</w:t>
            </w:r>
          </w:p>
        </w:tc>
        <w:tc>
          <w:tcPr>
            <w:tcW w:w="2521"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0.70～0.79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闪点（℃）：</w:t>
            </w:r>
          </w:p>
        </w:tc>
        <w:tc>
          <w:tcPr>
            <w:tcW w:w="1943"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-50</w:t>
            </w:r>
          </w:p>
        </w:tc>
        <w:tc>
          <w:tcPr>
            <w:tcW w:w="2389"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相对密度（空气=1）</w:t>
            </w:r>
          </w:p>
        </w:tc>
        <w:tc>
          <w:tcPr>
            <w:tcW w:w="2521"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引燃温度（℃）：</w:t>
            </w:r>
          </w:p>
        </w:tc>
        <w:tc>
          <w:tcPr>
            <w:tcW w:w="1943"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415～530</w:t>
            </w:r>
          </w:p>
        </w:tc>
        <w:tc>
          <w:tcPr>
            <w:tcW w:w="2389"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爆炸上限％（V/V）：</w:t>
            </w:r>
          </w:p>
        </w:tc>
        <w:tc>
          <w:tcPr>
            <w:tcW w:w="2521"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沸点（℃）：</w:t>
            </w:r>
          </w:p>
        </w:tc>
        <w:tc>
          <w:tcPr>
            <w:tcW w:w="1943"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40～200</w:t>
            </w:r>
          </w:p>
        </w:tc>
        <w:tc>
          <w:tcPr>
            <w:tcW w:w="2389"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爆炸下限％（V/V）：</w:t>
            </w:r>
          </w:p>
        </w:tc>
        <w:tc>
          <w:tcPr>
            <w:tcW w:w="2521"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溶解性：</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不溶于水、易溶于苯、二硫化碳、醇、易溶于脂肪。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主要用途：</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主要用作汽油机的燃料，用于橡胶、制鞋、印刷、制革、等行业，也可用作机械零件的去污剂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6"/>
            <w:vAlign w:val="center"/>
          </w:tcPr>
          <w:p>
            <w:pPr>
              <w:adjustRightInd w:val="0"/>
              <w:snapToGrid w:val="0"/>
              <w:rPr>
                <w:rFonts w:ascii="Times New Roman" w:hAnsi="Times New Roman" w:cs="Times New Roman"/>
                <w:szCs w:val="21"/>
              </w:rPr>
            </w:pPr>
            <w:r>
              <w:rPr>
                <w:rFonts w:ascii="Times New Roman" w:hAnsi="Times New Roman" w:cs="Times New Roman"/>
                <w:szCs w:val="21"/>
              </w:rPr>
              <w:t>第三部分  稳定性及化学活性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稳定性：</w:t>
            </w:r>
          </w:p>
        </w:tc>
        <w:tc>
          <w:tcPr>
            <w:tcW w:w="1943"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稳定</w:t>
            </w:r>
          </w:p>
        </w:tc>
        <w:tc>
          <w:tcPr>
            <w:tcW w:w="2389"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避免接触的条件：</w:t>
            </w:r>
          </w:p>
        </w:tc>
        <w:tc>
          <w:tcPr>
            <w:tcW w:w="2521"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明火、高热。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禁配物：</w:t>
            </w:r>
          </w:p>
        </w:tc>
        <w:tc>
          <w:tcPr>
            <w:tcW w:w="1943"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强氧化剂</w:t>
            </w:r>
          </w:p>
        </w:tc>
        <w:tc>
          <w:tcPr>
            <w:tcW w:w="2389"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聚合危害：</w:t>
            </w:r>
          </w:p>
        </w:tc>
        <w:tc>
          <w:tcPr>
            <w:tcW w:w="2521"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不聚合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分解产物：</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一氧化碳、二氧化碳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6"/>
            <w:vAlign w:val="center"/>
          </w:tcPr>
          <w:p>
            <w:pPr>
              <w:adjustRightInd w:val="0"/>
              <w:snapToGrid w:val="0"/>
              <w:rPr>
                <w:rFonts w:ascii="Times New Roman" w:hAnsi="Times New Roman" w:cs="Times New Roman"/>
                <w:szCs w:val="21"/>
              </w:rPr>
            </w:pPr>
            <w:r>
              <w:rPr>
                <w:rFonts w:ascii="Times New Roman" w:hAnsi="Times New Roman" w:cs="Times New Roman"/>
                <w:szCs w:val="21"/>
              </w:rPr>
              <w:t>第四部分  毒理学资料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急性毒性：</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rPr>
              <w:t>LD</w:t>
            </w:r>
            <w:r>
              <w:rPr>
                <w:rFonts w:ascii="Times New Roman" w:hAnsi="Times New Roman" w:cs="Times New Roman"/>
                <w:vertAlign w:val="subscript"/>
              </w:rPr>
              <w:t>50</w:t>
            </w:r>
            <w:r>
              <w:rPr>
                <w:rFonts w:ascii="Times New Roman" w:hAnsi="Times New Roman" w:cs="Times New Roman"/>
              </w:rPr>
              <w:t>67000mg/kg(小鼠经口)；LC</w:t>
            </w:r>
            <w:r>
              <w:rPr>
                <w:rFonts w:ascii="Times New Roman" w:hAnsi="Times New Roman" w:cs="Times New Roman"/>
                <w:vertAlign w:val="subscript"/>
              </w:rPr>
              <w:t>50</w:t>
            </w:r>
            <w:r>
              <w:rPr>
                <w:rFonts w:ascii="Times New Roman" w:hAnsi="Times New Roman" w:cs="Times New Roman"/>
              </w:rPr>
              <w:t>103000mg/m</w:t>
            </w:r>
            <w:r>
              <w:rPr>
                <w:rFonts w:ascii="Times New Roman" w:hAnsi="Times New Roman" w:cs="Times New Roman"/>
                <w:vertAlign w:val="superscript"/>
              </w:rPr>
              <w:t>3</w:t>
            </w:r>
            <w:r>
              <w:rPr>
                <w:rFonts w:ascii="Times New Roman" w:hAnsi="Times New Roman" w:cs="Times New Roman"/>
              </w:rPr>
              <w:t>，2小时(小鼠吸入)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急性中毒：</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高浓度吸入出现中毒性脑病。极高浓度吸入引起意识突然丧失、反射性呼吸停止和化学性肺炎。可致角膜溃疡、穿孔，甚至失明。皮肤接触致急性接触性皮炎或过敏性皮炎。急性经口中毒引起急性胃肠炎；重者出现类似急性吸入中毒症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慢性中毒：</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神经衰弱综合症，周围神经病，皮肤损害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刺激性：</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人经眼：140ppm（8小时），轻度刺激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最高容许浓度</w:t>
            </w:r>
          </w:p>
        </w:tc>
        <w:tc>
          <w:tcPr>
            <w:tcW w:w="6853" w:type="dxa"/>
            <w:gridSpan w:val="5"/>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300mg/m</w:t>
            </w:r>
            <w:r>
              <w:rPr>
                <w:rFonts w:ascii="Times New Roman" w:hAnsi="Times New Roman" w:cs="Times New Roman"/>
                <w:szCs w:val="21"/>
                <w:vertAlign w:val="superscript"/>
              </w:rPr>
              <w:t>3</w:t>
            </w:r>
          </w:p>
        </w:tc>
      </w:tr>
    </w:tbl>
    <w:p>
      <w:pPr>
        <w:pStyle w:val="22"/>
        <w:numPr>
          <w:ilvl w:val="0"/>
          <w:numId w:val="1"/>
        </w:numPr>
        <w:adjustRightInd w:val="0"/>
        <w:snapToGrid w:val="0"/>
        <w:spacing w:line="500" w:lineRule="exact"/>
        <w:ind w:firstLineChars="0"/>
        <w:rPr>
          <w:rFonts w:ascii="Times New Roman" w:hAnsi="Times New Roman" w:cs="Times New Roman"/>
          <w:b/>
          <w:spacing w:val="6"/>
          <w:szCs w:val="21"/>
        </w:rPr>
      </w:pPr>
      <w:r>
        <w:rPr>
          <w:rFonts w:ascii="Times New Roman" w:hAnsi="Times New Roman" w:cs="Times New Roman"/>
          <w:b/>
          <w:spacing w:val="6"/>
          <w:szCs w:val="21"/>
        </w:rPr>
        <w:t xml:space="preserve">                   柴油的理化性质和危险</w:t>
      </w:r>
      <w:r>
        <w:rPr>
          <w:rFonts w:ascii="Times New Roman" w:hAnsi="Times New Roman" w:cs="Times New Roman"/>
          <w:b/>
          <w:bCs/>
          <w:szCs w:val="21"/>
        </w:rPr>
        <w:t>特性</w:t>
      </w:r>
    </w:p>
    <w:tbl>
      <w:tblPr>
        <w:tblStyle w:val="11"/>
        <w:tblW w:w="866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36"/>
        <w:gridCol w:w="1817"/>
        <w:gridCol w:w="421"/>
        <w:gridCol w:w="421"/>
        <w:gridCol w:w="1412"/>
        <w:gridCol w:w="135"/>
        <w:gridCol w:w="275"/>
        <w:gridCol w:w="224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8"/>
            <w:vAlign w:val="center"/>
          </w:tcPr>
          <w:p>
            <w:pPr>
              <w:adjustRightInd w:val="0"/>
              <w:snapToGrid w:val="0"/>
              <w:rPr>
                <w:rFonts w:ascii="Times New Roman" w:hAnsi="Times New Roman" w:cs="Times New Roman"/>
                <w:szCs w:val="21"/>
              </w:rPr>
            </w:pPr>
            <w:r>
              <w:rPr>
                <w:rFonts w:ascii="Times New Roman" w:hAnsi="Times New Roman" w:cs="Times New Roman"/>
                <w:szCs w:val="21"/>
              </w:rPr>
              <w:t>第一部分  危险性概述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危险性类别：</w:t>
            </w:r>
          </w:p>
        </w:tc>
        <w:tc>
          <w:tcPr>
            <w:tcW w:w="2659"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bCs/>
                <w:color w:val="000000"/>
                <w:szCs w:val="21"/>
              </w:rPr>
              <w:t>第3类高闪点易燃液体</w:t>
            </w:r>
          </w:p>
        </w:tc>
        <w:tc>
          <w:tcPr>
            <w:tcW w:w="1822"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燃爆危险：</w:t>
            </w:r>
          </w:p>
        </w:tc>
        <w:tc>
          <w:tcPr>
            <w:tcW w:w="224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易燃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侵入途径：</w:t>
            </w:r>
          </w:p>
        </w:tc>
        <w:tc>
          <w:tcPr>
            <w:tcW w:w="2659" w:type="dxa"/>
            <w:gridSpan w:val="3"/>
            <w:vAlign w:val="center"/>
          </w:tcPr>
          <w:p>
            <w:pPr>
              <w:pStyle w:val="10"/>
              <w:adjustRightInd w:val="0"/>
              <w:snapToGrid w:val="0"/>
              <w:spacing w:line="240" w:lineRule="auto"/>
              <w:jc w:val="center"/>
              <w:rPr>
                <w:rFonts w:ascii="Times New Roman" w:hAnsi="Times New Roman" w:cs="Times New Roman"/>
                <w:szCs w:val="21"/>
              </w:rPr>
            </w:pPr>
            <w:r>
              <w:rPr>
                <w:rFonts w:ascii="Times New Roman" w:hAnsi="Times New Roman" w:cs="Times New Roman"/>
                <w:szCs w:val="21"/>
              </w:rPr>
              <w:t>吸入、食入、经皮吸收</w:t>
            </w:r>
          </w:p>
        </w:tc>
        <w:tc>
          <w:tcPr>
            <w:tcW w:w="1822"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有害燃烧产物：</w:t>
            </w:r>
          </w:p>
        </w:tc>
        <w:tc>
          <w:tcPr>
            <w:tcW w:w="224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一氧化碳、二氧化碳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环境危害：</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该物质对环境有危害，应特别注意对地表水、土壤、大气和饮用水的污染。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8"/>
            <w:vAlign w:val="center"/>
          </w:tcPr>
          <w:p>
            <w:pPr>
              <w:adjustRightInd w:val="0"/>
              <w:snapToGrid w:val="0"/>
              <w:rPr>
                <w:rFonts w:ascii="Times New Roman" w:hAnsi="Times New Roman" w:cs="Times New Roman"/>
                <w:szCs w:val="21"/>
              </w:rPr>
            </w:pPr>
            <w:r>
              <w:rPr>
                <w:rFonts w:ascii="Times New Roman" w:hAnsi="Times New Roman" w:cs="Times New Roman"/>
                <w:szCs w:val="21"/>
              </w:rPr>
              <w:t>第二部分  理化特性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外观及性状：</w:t>
            </w:r>
          </w:p>
        </w:tc>
        <w:tc>
          <w:tcPr>
            <w:tcW w:w="2238"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稍有粘性的棕色液体</w:t>
            </w:r>
          </w:p>
        </w:tc>
        <w:tc>
          <w:tcPr>
            <w:tcW w:w="1968"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主要用途：</w:t>
            </w:r>
          </w:p>
        </w:tc>
        <w:tc>
          <w:tcPr>
            <w:tcW w:w="2520"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用作柴油机的燃料等。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闪点（</w:t>
            </w:r>
            <w:r>
              <w:rPr>
                <w:rFonts w:ascii="宋体" w:hAnsi="Times New Roman" w:cs="Times New Roman"/>
                <w:szCs w:val="21"/>
              </w:rPr>
              <w:t>℃</w:t>
            </w:r>
            <w:r>
              <w:rPr>
                <w:rFonts w:ascii="Times New Roman" w:hAnsi="Times New Roman" w:cs="Times New Roman"/>
                <w:szCs w:val="21"/>
              </w:rPr>
              <w:t>）：</w:t>
            </w:r>
          </w:p>
        </w:tc>
        <w:tc>
          <w:tcPr>
            <w:tcW w:w="2238"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45～55</w:t>
            </w:r>
            <w:r>
              <w:rPr>
                <w:rFonts w:ascii="宋体" w:hAnsi="Times New Roman" w:cs="Times New Roman"/>
                <w:szCs w:val="21"/>
              </w:rPr>
              <w:t>℃</w:t>
            </w:r>
          </w:p>
        </w:tc>
        <w:tc>
          <w:tcPr>
            <w:tcW w:w="1968"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相对密度（水＝1）：</w:t>
            </w:r>
          </w:p>
        </w:tc>
        <w:tc>
          <w:tcPr>
            <w:tcW w:w="2520"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0.87～0.9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沸点（</w:t>
            </w:r>
            <w:r>
              <w:rPr>
                <w:rFonts w:ascii="宋体" w:hAnsi="Times New Roman" w:cs="Times New Roman"/>
                <w:szCs w:val="21"/>
              </w:rPr>
              <w:t>℃</w:t>
            </w:r>
            <w:r>
              <w:rPr>
                <w:rFonts w:ascii="Times New Roman" w:hAnsi="Times New Roman" w:cs="Times New Roman"/>
                <w:szCs w:val="21"/>
              </w:rPr>
              <w:t>）：</w:t>
            </w:r>
          </w:p>
        </w:tc>
        <w:tc>
          <w:tcPr>
            <w:tcW w:w="2238"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200～350</w:t>
            </w:r>
            <w:r>
              <w:rPr>
                <w:rFonts w:ascii="宋体" w:hAnsi="Times New Roman" w:cs="Times New Roman"/>
                <w:szCs w:val="21"/>
              </w:rPr>
              <w:t>℃</w:t>
            </w:r>
          </w:p>
        </w:tc>
        <w:tc>
          <w:tcPr>
            <w:tcW w:w="1968"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爆炸上限％（V/V）：</w:t>
            </w:r>
          </w:p>
        </w:tc>
        <w:tc>
          <w:tcPr>
            <w:tcW w:w="2520"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自然点（</w:t>
            </w:r>
            <w:r>
              <w:rPr>
                <w:rFonts w:ascii="宋体" w:hAnsi="Times New Roman" w:cs="Times New Roman"/>
                <w:szCs w:val="21"/>
              </w:rPr>
              <w:t>℃</w:t>
            </w:r>
            <w:r>
              <w:rPr>
                <w:rFonts w:ascii="Times New Roman" w:hAnsi="Times New Roman" w:cs="Times New Roman"/>
                <w:szCs w:val="21"/>
              </w:rPr>
              <w:t>）：</w:t>
            </w:r>
          </w:p>
        </w:tc>
        <w:tc>
          <w:tcPr>
            <w:tcW w:w="2238"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257</w:t>
            </w:r>
          </w:p>
        </w:tc>
        <w:tc>
          <w:tcPr>
            <w:tcW w:w="1968"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爆炸下限％（V/V）：</w:t>
            </w:r>
          </w:p>
        </w:tc>
        <w:tc>
          <w:tcPr>
            <w:tcW w:w="2520" w:type="dxa"/>
            <w:gridSpan w:val="2"/>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溶解性：</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不溶于水，易溶于苯、二硫化碳、醇，易溶于脂肪。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8"/>
            <w:vAlign w:val="center"/>
          </w:tcPr>
          <w:p>
            <w:pPr>
              <w:adjustRightInd w:val="0"/>
              <w:snapToGrid w:val="0"/>
              <w:rPr>
                <w:rFonts w:ascii="Times New Roman" w:hAnsi="Times New Roman" w:cs="Times New Roman"/>
                <w:szCs w:val="21"/>
              </w:rPr>
            </w:pPr>
            <w:r>
              <w:rPr>
                <w:rFonts w:ascii="Times New Roman" w:hAnsi="Times New Roman" w:cs="Times New Roman"/>
                <w:szCs w:val="21"/>
              </w:rPr>
              <w:t>第三部分  稳定性及化学活性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稳定性：</w:t>
            </w:r>
          </w:p>
        </w:tc>
        <w:tc>
          <w:tcPr>
            <w:tcW w:w="1817"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稳定</w:t>
            </w:r>
          </w:p>
        </w:tc>
        <w:tc>
          <w:tcPr>
            <w:tcW w:w="2254"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避免接触的条件：</w:t>
            </w:r>
          </w:p>
        </w:tc>
        <w:tc>
          <w:tcPr>
            <w:tcW w:w="2655"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明火、高热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禁配物：</w:t>
            </w:r>
          </w:p>
        </w:tc>
        <w:tc>
          <w:tcPr>
            <w:tcW w:w="1817"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强氧化剂、卤素</w:t>
            </w:r>
          </w:p>
        </w:tc>
        <w:tc>
          <w:tcPr>
            <w:tcW w:w="2254"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聚合危害：</w:t>
            </w:r>
          </w:p>
        </w:tc>
        <w:tc>
          <w:tcPr>
            <w:tcW w:w="2655" w:type="dxa"/>
            <w:gridSpan w:val="3"/>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不聚合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分解产物：</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一氧化碳、二氧化碳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662" w:type="dxa"/>
            <w:gridSpan w:val="8"/>
            <w:vAlign w:val="center"/>
          </w:tcPr>
          <w:p>
            <w:pPr>
              <w:adjustRightInd w:val="0"/>
              <w:snapToGrid w:val="0"/>
              <w:rPr>
                <w:rFonts w:ascii="Times New Roman" w:hAnsi="Times New Roman" w:cs="Times New Roman"/>
                <w:szCs w:val="21"/>
              </w:rPr>
            </w:pPr>
            <w:r>
              <w:rPr>
                <w:rFonts w:ascii="Times New Roman" w:hAnsi="Times New Roman" w:cs="Times New Roman"/>
                <w:szCs w:val="21"/>
              </w:rPr>
              <w:t>第四部分   毒理学资料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急性毒性：</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rPr>
              <w:t>大鼠经口LD</w:t>
            </w:r>
            <w:r>
              <w:rPr>
                <w:rFonts w:ascii="Times New Roman" w:hAnsi="Times New Roman" w:cs="Times New Roman"/>
                <w:vertAlign w:val="subscript"/>
              </w:rPr>
              <w:t>50</w:t>
            </w:r>
            <w:r>
              <w:rPr>
                <w:rFonts w:ascii="Times New Roman" w:hAnsi="Times New Roman" w:cs="Times New Roman"/>
              </w:rPr>
              <w:t>：7500mg/kg，兔经皮LD</w:t>
            </w:r>
            <w:r>
              <w:rPr>
                <w:rFonts w:ascii="Times New Roman" w:hAnsi="Times New Roman" w:cs="Times New Roman"/>
                <w:vertAlign w:val="subscript"/>
              </w:rPr>
              <w:t>50</w:t>
            </w:r>
            <w:r>
              <w:rPr>
                <w:rFonts w:ascii="Times New Roman" w:hAnsi="Times New Roman" w:cs="Times New Roman"/>
              </w:rPr>
              <w:t>：&gt;5ml/kg</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急性中毒：</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皮肤接触柴油可引起接触性皮炎、油性痤疮，吸入可引起吸入性肺炎，能经胎盘进入胎儿血中。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慢性中毒：</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柴油废气可引起眼、鼻刺激症状，头痛。</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刺激性：</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具有刺激作用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3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最高容许浓度</w:t>
            </w:r>
          </w:p>
        </w:tc>
        <w:tc>
          <w:tcPr>
            <w:tcW w:w="6726" w:type="dxa"/>
            <w:gridSpan w:val="7"/>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目前无标准</w:t>
            </w:r>
          </w:p>
        </w:tc>
      </w:tr>
    </w:tbl>
    <w:p>
      <w:pPr>
        <w:adjustRightInd w:val="0"/>
        <w:snapToGrid w:val="0"/>
        <w:spacing w:line="500" w:lineRule="exact"/>
        <w:ind w:firstLine="480" w:firstLineChars="200"/>
        <w:rPr>
          <w:rFonts w:ascii="Times New Roman" w:hAnsi="Times New Roman" w:cs="Times New Roman"/>
          <w:sz w:val="24"/>
        </w:rPr>
      </w:pPr>
      <w:r>
        <w:rPr>
          <w:rFonts w:ascii="Times New Roman" w:hAnsi="Times New Roman" w:cs="Times New Roman"/>
          <w:sz w:val="24"/>
        </w:rPr>
        <w:t>项目汽油、柴油采用储罐贮存，其贮存</w:t>
      </w:r>
      <w:r>
        <w:rPr>
          <w:rFonts w:hint="eastAsia" w:ascii="Times New Roman" w:hAnsi="Times New Roman" w:cs="Times New Roman"/>
          <w:sz w:val="24"/>
        </w:rPr>
        <w:t>数量和分布情况</w:t>
      </w:r>
      <w:r>
        <w:rPr>
          <w:rFonts w:ascii="Times New Roman" w:hAnsi="Times New Roman" w:cs="Times New Roman"/>
          <w:sz w:val="24"/>
        </w:rPr>
        <w:t>见表</w:t>
      </w:r>
      <w:r>
        <w:rPr>
          <w:rFonts w:hint="eastAsia" w:ascii="Times New Roman" w:hAnsi="Times New Roman" w:cs="Times New Roman"/>
          <w:sz w:val="24"/>
        </w:rPr>
        <w:t>3</w:t>
      </w:r>
      <w:r>
        <w:rPr>
          <w:rFonts w:ascii="Times New Roman" w:hAnsi="Times New Roman" w:cs="Times New Roman"/>
          <w:sz w:val="24"/>
        </w:rPr>
        <w:t>。</w:t>
      </w:r>
    </w:p>
    <w:p>
      <w:pPr>
        <w:pStyle w:val="22"/>
        <w:numPr>
          <w:ilvl w:val="0"/>
          <w:numId w:val="1"/>
        </w:numPr>
        <w:adjustRightInd w:val="0"/>
        <w:snapToGrid w:val="0"/>
        <w:spacing w:line="500" w:lineRule="exact"/>
        <w:ind w:firstLineChars="0"/>
        <w:rPr>
          <w:rFonts w:ascii="Times New Roman" w:hAnsi="Times New Roman" w:cs="Times New Roman"/>
          <w:b/>
          <w:spacing w:val="6"/>
          <w:szCs w:val="21"/>
        </w:rPr>
      </w:pPr>
      <w:r>
        <w:rPr>
          <w:rFonts w:ascii="Times New Roman" w:hAnsi="Times New Roman" w:cs="Times New Roman"/>
          <w:b/>
          <w:spacing w:val="6"/>
          <w:szCs w:val="21"/>
        </w:rPr>
        <w:t xml:space="preserve">               项目主要原料及产品贮存方式一览表</w:t>
      </w:r>
    </w:p>
    <w:tbl>
      <w:tblPr>
        <w:tblStyle w:val="11"/>
        <w:tblW w:w="866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1134"/>
        <w:gridCol w:w="1134"/>
        <w:gridCol w:w="1985"/>
        <w:gridCol w:w="1318"/>
        <w:gridCol w:w="128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序号</w:t>
            </w:r>
          </w:p>
        </w:tc>
        <w:tc>
          <w:tcPr>
            <w:tcW w:w="1134"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设备名称</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年消耗量</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储存位置</w:t>
            </w:r>
          </w:p>
        </w:tc>
        <w:tc>
          <w:tcPr>
            <w:tcW w:w="1985"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储存装置</w:t>
            </w:r>
          </w:p>
        </w:tc>
        <w:tc>
          <w:tcPr>
            <w:tcW w:w="1318"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最大填装系数</w:t>
            </w:r>
          </w:p>
        </w:tc>
        <w:tc>
          <w:tcPr>
            <w:tcW w:w="1282"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最大储存量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1</w:t>
            </w:r>
          </w:p>
        </w:tc>
        <w:tc>
          <w:tcPr>
            <w:tcW w:w="1134"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汽油储罐</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lang w:val="en-US" w:eastAsia="zh-CN"/>
              </w:rPr>
              <w:t>3</w:t>
            </w:r>
            <w:r>
              <w:rPr>
                <w:rFonts w:hint="eastAsia" w:ascii="Times New Roman" w:hAnsi="Times New Roman" w:cs="Times New Roman"/>
                <w:szCs w:val="21"/>
              </w:rPr>
              <w:t>00</w:t>
            </w:r>
            <w:r>
              <w:rPr>
                <w:rFonts w:ascii="Times New Roman" w:hAnsi="Times New Roman" w:cs="Times New Roman"/>
                <w:szCs w:val="21"/>
              </w:rPr>
              <w:t>m</w:t>
            </w:r>
            <w:r>
              <w:rPr>
                <w:rFonts w:hint="eastAsia" w:ascii="Times New Roman" w:hAnsi="Times New Roman" w:cs="Times New Roman"/>
                <w:szCs w:val="21"/>
                <w:vertAlign w:val="superscript"/>
              </w:rPr>
              <w:t>3</w:t>
            </w:r>
            <w:r>
              <w:rPr>
                <w:rFonts w:hint="eastAsia" w:ascii="Times New Roman" w:hAnsi="Times New Roman" w:cs="Times New Roman"/>
                <w:szCs w:val="21"/>
              </w:rPr>
              <w:t>/a</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储罐区</w:t>
            </w:r>
          </w:p>
        </w:tc>
        <w:tc>
          <w:tcPr>
            <w:tcW w:w="1985"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lang w:val="en-US" w:eastAsia="zh-CN"/>
              </w:rPr>
              <w:t>1</w:t>
            </w:r>
            <w:r>
              <w:rPr>
                <w:rFonts w:hint="eastAsia" w:ascii="Times New Roman" w:hAnsi="Times New Roman" w:cs="Times New Roman"/>
                <w:szCs w:val="21"/>
              </w:rPr>
              <w:t>座</w:t>
            </w:r>
            <w:r>
              <w:rPr>
                <w:rFonts w:hint="eastAsia" w:ascii="Times New Roman" w:hAnsi="Times New Roman" w:cs="Times New Roman"/>
                <w:szCs w:val="21"/>
                <w:lang w:val="en-US" w:eastAsia="zh-CN"/>
              </w:rPr>
              <w:t>25</w:t>
            </w:r>
            <w:r>
              <w:rPr>
                <w:rFonts w:ascii="Times New Roman" w:hAnsi="Times New Roman" w:cs="Times New Roman"/>
                <w:szCs w:val="21"/>
              </w:rPr>
              <w:t>m³</w:t>
            </w:r>
            <w:r>
              <w:rPr>
                <w:rFonts w:ascii="Times New Roman" w:hAnsi="Times New Roman" w:cs="Times New Roman"/>
              </w:rPr>
              <w:t>钢制</w:t>
            </w:r>
            <w:r>
              <w:rPr>
                <w:rFonts w:hint="eastAsia" w:ascii="Times New Roman" w:hAnsi="Times New Roman" w:cs="Times New Roman"/>
              </w:rPr>
              <w:t>油罐</w:t>
            </w:r>
          </w:p>
        </w:tc>
        <w:tc>
          <w:tcPr>
            <w:tcW w:w="1318" w:type="dxa"/>
            <w:vMerge w:val="restart"/>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rPr>
              <w:t>0.85</w:t>
            </w:r>
          </w:p>
        </w:tc>
        <w:tc>
          <w:tcPr>
            <w:tcW w:w="1282"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lang w:val="en-US" w:eastAsia="zh-CN"/>
              </w:rPr>
              <w:t>21.25</w:t>
            </w:r>
            <w:r>
              <w:rPr>
                <w:rFonts w:ascii="Times New Roman" w:hAnsi="Times New Roman" w:cs="Times New Roman"/>
                <w:szCs w:val="21"/>
              </w:rPr>
              <w:t>m</w:t>
            </w:r>
            <w:r>
              <w:rPr>
                <w:rFonts w:hint="eastAsia" w:ascii="Times New Roman" w:hAnsi="Times New Roman" w:cs="Times New Roman"/>
                <w:szCs w:val="21"/>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2</w:t>
            </w:r>
          </w:p>
        </w:tc>
        <w:tc>
          <w:tcPr>
            <w:tcW w:w="1134"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柴油储罐</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lang w:val="en-US" w:eastAsia="zh-CN"/>
              </w:rPr>
              <w:t>200</w:t>
            </w:r>
            <w:r>
              <w:rPr>
                <w:rFonts w:ascii="Times New Roman" w:hAnsi="Times New Roman" w:cs="Times New Roman"/>
                <w:szCs w:val="21"/>
              </w:rPr>
              <w:t>m</w:t>
            </w:r>
            <w:r>
              <w:rPr>
                <w:rFonts w:hint="eastAsia" w:ascii="Times New Roman" w:hAnsi="Times New Roman" w:cs="Times New Roman"/>
                <w:szCs w:val="21"/>
                <w:vertAlign w:val="superscript"/>
              </w:rPr>
              <w:t>3</w:t>
            </w:r>
            <w:r>
              <w:rPr>
                <w:rFonts w:hint="eastAsia" w:ascii="Times New Roman" w:hAnsi="Times New Roman" w:cs="Times New Roman"/>
                <w:szCs w:val="21"/>
              </w:rPr>
              <w:t>/a</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储罐区</w:t>
            </w:r>
          </w:p>
        </w:tc>
        <w:tc>
          <w:tcPr>
            <w:tcW w:w="1985"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lang w:val="en-US" w:eastAsia="zh-CN"/>
              </w:rPr>
              <w:t>1</w:t>
            </w:r>
            <w:r>
              <w:rPr>
                <w:rFonts w:hint="eastAsia" w:ascii="Times New Roman" w:hAnsi="Times New Roman" w:cs="Times New Roman"/>
                <w:szCs w:val="21"/>
              </w:rPr>
              <w:t>座</w:t>
            </w:r>
            <w:r>
              <w:rPr>
                <w:rFonts w:hint="eastAsia" w:ascii="Times New Roman" w:hAnsi="Times New Roman" w:cs="Times New Roman"/>
                <w:szCs w:val="21"/>
                <w:lang w:val="en-US" w:eastAsia="zh-CN"/>
              </w:rPr>
              <w:t>25</w:t>
            </w:r>
            <w:r>
              <w:rPr>
                <w:rFonts w:ascii="Times New Roman" w:hAnsi="Times New Roman" w:cs="Times New Roman"/>
                <w:szCs w:val="21"/>
              </w:rPr>
              <w:t>m³</w:t>
            </w:r>
            <w:r>
              <w:rPr>
                <w:rFonts w:ascii="Times New Roman" w:hAnsi="Times New Roman" w:cs="Times New Roman"/>
              </w:rPr>
              <w:t>钢制</w:t>
            </w:r>
            <w:r>
              <w:rPr>
                <w:rFonts w:hint="eastAsia" w:ascii="Times New Roman" w:hAnsi="Times New Roman" w:cs="Times New Roman"/>
              </w:rPr>
              <w:t>油罐</w:t>
            </w:r>
          </w:p>
        </w:tc>
        <w:tc>
          <w:tcPr>
            <w:tcW w:w="1318" w:type="dxa"/>
            <w:vMerge w:val="continue"/>
            <w:vAlign w:val="center"/>
          </w:tcPr>
          <w:p>
            <w:pPr>
              <w:adjustRightInd w:val="0"/>
              <w:snapToGrid w:val="0"/>
              <w:jc w:val="center"/>
              <w:rPr>
                <w:rFonts w:ascii="Times New Roman" w:hAnsi="Times New Roman" w:cs="Times New Roman"/>
                <w:szCs w:val="21"/>
              </w:rPr>
            </w:pPr>
          </w:p>
        </w:tc>
        <w:tc>
          <w:tcPr>
            <w:tcW w:w="1282"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lang w:val="en-US" w:eastAsia="zh-CN"/>
              </w:rPr>
              <w:t>21.25</w:t>
            </w:r>
            <w:r>
              <w:rPr>
                <w:rFonts w:ascii="Times New Roman" w:hAnsi="Times New Roman" w:cs="Times New Roman"/>
                <w:szCs w:val="21"/>
              </w:rPr>
              <w:t>m</w:t>
            </w:r>
            <w:r>
              <w:rPr>
                <w:rFonts w:hint="eastAsia" w:ascii="Times New Roman" w:hAnsi="Times New Roman" w:cs="Times New Roman"/>
                <w:szCs w:val="21"/>
                <w:vertAlign w:val="superscript"/>
              </w:rPr>
              <w:t>3</w:t>
            </w:r>
          </w:p>
        </w:tc>
      </w:tr>
    </w:tbl>
    <w:p>
      <w:pPr>
        <w:adjustRightInd w:val="0"/>
        <w:snapToGrid w:val="0"/>
        <w:spacing w:line="500" w:lineRule="exact"/>
        <w:rPr>
          <w:rFonts w:ascii="Times New Roman" w:hAnsi="Times New Roman" w:cs="Times New Roman"/>
          <w:bCs/>
          <w:sz w:val="24"/>
        </w:rPr>
      </w:pPr>
      <w:r>
        <w:rPr>
          <w:rFonts w:hint="eastAsia" w:ascii="Times New Roman" w:hAnsi="Times New Roman" w:cs="Times New Roman"/>
          <w:bCs/>
          <w:sz w:val="24"/>
        </w:rPr>
        <w:t>（2）风险潜势初判</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根据《建设项目环境风险评价技术导则》（HJ 169-2018）中附录 C 的规定：</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计算项目所涉及的每种危险物质在厂界内的最大存在总量与其在附录 B 中对应临界量的比值 Q。</w:t>
      </w:r>
    </w:p>
    <w:p>
      <w:pPr>
        <w:adjustRightInd w:val="0"/>
        <w:snapToGrid w:val="0"/>
        <w:spacing w:line="500" w:lineRule="exact"/>
        <w:ind w:firstLine="480" w:firstLineChars="200"/>
        <w:jc w:val="left"/>
        <w:rPr>
          <w:rFonts w:ascii="Times New Roman" w:hAnsi="Times New Roman" w:cs="Times New Roman"/>
          <w:sz w:val="24"/>
        </w:rPr>
      </w:pPr>
      <w:r>
        <w:rPr>
          <w:rFonts w:hint="eastAsia" w:ascii="Times New Roman" w:hAnsi="Times New Roman" w:cs="Times New Roman"/>
          <w:sz w:val="24"/>
        </w:rPr>
        <w:t>本项目所涉及的危险物质为汽油、柴油。根据查阅《建设项目环境风险评价技术导则》（HJ 169-2018）中附录 B“油类物质（矿物油类，如石油、汽油、柴油等；生物柴油等的临界量为 2500t）”。汽油的平均密度取 0.75t/m</w:t>
      </w:r>
      <w:r>
        <w:rPr>
          <w:rFonts w:hint="eastAsia" w:ascii="Times New Roman" w:hAnsi="Times New Roman" w:cs="Times New Roman"/>
          <w:sz w:val="24"/>
          <w:vertAlign w:val="superscript"/>
        </w:rPr>
        <w:t>3</w:t>
      </w:r>
      <w:r>
        <w:rPr>
          <w:rFonts w:hint="eastAsia" w:ascii="Times New Roman" w:hAnsi="Times New Roman" w:cs="Times New Roman"/>
          <w:sz w:val="24"/>
        </w:rPr>
        <w:t>，柴油的平均密度取0.85t/m</w:t>
      </w:r>
      <w:r>
        <w:rPr>
          <w:rFonts w:hint="eastAsia" w:ascii="Times New Roman" w:hAnsi="Times New Roman" w:cs="Times New Roman"/>
          <w:sz w:val="24"/>
          <w:vertAlign w:val="superscript"/>
        </w:rPr>
        <w:t>3</w:t>
      </w:r>
      <w:r>
        <w:rPr>
          <w:rFonts w:hint="eastAsia" w:ascii="Times New Roman" w:hAnsi="Times New Roman" w:cs="Times New Roman"/>
          <w:sz w:val="24"/>
        </w:rPr>
        <w:t xml:space="preserve"> 。</w:t>
      </w:r>
    </w:p>
    <w:p>
      <w:pPr>
        <w:pStyle w:val="22"/>
        <w:adjustRightInd w:val="0"/>
        <w:snapToGrid w:val="0"/>
        <w:spacing w:line="500" w:lineRule="exact"/>
        <w:ind w:firstLine="0" w:firstLineChars="0"/>
        <w:jc w:val="center"/>
        <w:rPr>
          <w:rFonts w:ascii="Times New Roman" w:hAnsi="Times New Roman" w:cs="Times New Roman"/>
          <w:b/>
          <w:spacing w:val="6"/>
          <w:szCs w:val="21"/>
        </w:rPr>
      </w:pPr>
      <w:r>
        <w:rPr>
          <w:rFonts w:hint="eastAsia" w:ascii="Times New Roman" w:hAnsi="Times New Roman" w:cs="Times New Roman"/>
          <w:b/>
          <w:spacing w:val="6"/>
          <w:szCs w:val="21"/>
        </w:rPr>
        <w:t>表4    Q值计算结果表</w:t>
      </w:r>
    </w:p>
    <w:tbl>
      <w:tblPr>
        <w:tblStyle w:val="11"/>
        <w:tblW w:w="866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275"/>
        <w:gridCol w:w="1134"/>
        <w:gridCol w:w="1560"/>
        <w:gridCol w:w="1743"/>
        <w:gridCol w:w="128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8"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危险物质</w:t>
            </w:r>
          </w:p>
        </w:tc>
        <w:tc>
          <w:tcPr>
            <w:tcW w:w="1275"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类别</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最大储存量m</w:t>
            </w:r>
            <w:r>
              <w:rPr>
                <w:rFonts w:hint="eastAsia" w:ascii="Times New Roman" w:hAnsi="Times New Roman" w:cs="Times New Roman"/>
                <w:szCs w:val="21"/>
                <w:vertAlign w:val="superscript"/>
              </w:rPr>
              <w:t>3</w:t>
            </w:r>
          </w:p>
        </w:tc>
        <w:tc>
          <w:tcPr>
            <w:tcW w:w="1560"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折合吨（t）</w:t>
            </w:r>
          </w:p>
        </w:tc>
        <w:tc>
          <w:tcPr>
            <w:tcW w:w="1743"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临界量</w:t>
            </w:r>
          </w:p>
        </w:tc>
        <w:tc>
          <w:tcPr>
            <w:tcW w:w="1282"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Q</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8"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汽油</w:t>
            </w:r>
          </w:p>
        </w:tc>
        <w:tc>
          <w:tcPr>
            <w:tcW w:w="1275"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易燃液体</w:t>
            </w:r>
          </w:p>
        </w:tc>
        <w:tc>
          <w:tcPr>
            <w:tcW w:w="1134"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21.25</w:t>
            </w:r>
          </w:p>
        </w:tc>
        <w:tc>
          <w:tcPr>
            <w:tcW w:w="1560"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15.9375</w:t>
            </w:r>
          </w:p>
        </w:tc>
        <w:tc>
          <w:tcPr>
            <w:tcW w:w="1743" w:type="dxa"/>
            <w:vMerge w:val="restart"/>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rPr>
              <w:t>2500</w:t>
            </w:r>
          </w:p>
        </w:tc>
        <w:tc>
          <w:tcPr>
            <w:tcW w:w="1282"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0.006375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8"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柴油</w:t>
            </w:r>
          </w:p>
        </w:tc>
        <w:tc>
          <w:tcPr>
            <w:tcW w:w="1275"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易燃液体</w:t>
            </w:r>
          </w:p>
        </w:tc>
        <w:tc>
          <w:tcPr>
            <w:tcW w:w="1134"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21.25</w:t>
            </w:r>
          </w:p>
        </w:tc>
        <w:tc>
          <w:tcPr>
            <w:tcW w:w="1560"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18.0625</w:t>
            </w:r>
          </w:p>
        </w:tc>
        <w:tc>
          <w:tcPr>
            <w:tcW w:w="1743" w:type="dxa"/>
            <w:vMerge w:val="continue"/>
            <w:vAlign w:val="center"/>
          </w:tcPr>
          <w:p>
            <w:pPr>
              <w:adjustRightInd w:val="0"/>
              <w:snapToGrid w:val="0"/>
              <w:jc w:val="center"/>
              <w:rPr>
                <w:rFonts w:ascii="Times New Roman" w:hAnsi="Times New Roman" w:cs="Times New Roman"/>
                <w:szCs w:val="21"/>
              </w:rPr>
            </w:pPr>
          </w:p>
        </w:tc>
        <w:tc>
          <w:tcPr>
            <w:tcW w:w="1282"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0.007225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8"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合计</w:t>
            </w:r>
          </w:p>
        </w:tc>
        <w:tc>
          <w:tcPr>
            <w:tcW w:w="1275"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w:t>
            </w:r>
          </w:p>
        </w:tc>
        <w:tc>
          <w:tcPr>
            <w:tcW w:w="1134"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w:t>
            </w:r>
          </w:p>
        </w:tc>
        <w:tc>
          <w:tcPr>
            <w:tcW w:w="1560"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34</w:t>
            </w:r>
          </w:p>
        </w:tc>
        <w:tc>
          <w:tcPr>
            <w:tcW w:w="1743" w:type="dxa"/>
            <w:vAlign w:val="center"/>
          </w:tcPr>
          <w:p>
            <w:pPr>
              <w:adjustRightInd w:val="0"/>
              <w:snapToGrid w:val="0"/>
              <w:jc w:val="center"/>
              <w:rPr>
                <w:rFonts w:hint="eastAsia" w:ascii="Times New Roman" w:hAnsi="Times New Roman" w:eastAsia="宋体" w:cs="Times New Roman"/>
                <w:szCs w:val="21"/>
                <w:lang w:val="en-US" w:eastAsia="zh-CN"/>
              </w:rPr>
            </w:pPr>
            <w:r>
              <w:rPr>
                <w:rFonts w:hint="eastAsia" w:ascii="Times New Roman" w:hAnsi="Times New Roman" w:cs="Times New Roman"/>
                <w:szCs w:val="21"/>
                <w:lang w:val="en-US" w:eastAsia="zh-CN"/>
              </w:rPr>
              <w:t>/</w:t>
            </w:r>
          </w:p>
        </w:tc>
        <w:tc>
          <w:tcPr>
            <w:tcW w:w="1282" w:type="dxa"/>
            <w:vAlign w:val="center"/>
          </w:tcPr>
          <w:p>
            <w:pPr>
              <w:adjustRightInd w:val="0"/>
              <w:snapToGrid w:val="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0.0136</w:t>
            </w:r>
          </w:p>
        </w:tc>
      </w:tr>
    </w:tbl>
    <w:p>
      <w:pPr>
        <w:adjustRightInd w:val="0"/>
        <w:snapToGrid w:val="0"/>
        <w:spacing w:line="500" w:lineRule="exact"/>
        <w:ind w:firstLine="480" w:firstLineChars="200"/>
        <w:jc w:val="left"/>
        <w:rPr>
          <w:rFonts w:ascii="Times New Roman" w:hAnsi="Times New Roman" w:cs="Times New Roman"/>
          <w:color w:val="FF0000"/>
          <w:sz w:val="24"/>
        </w:rPr>
      </w:pPr>
      <w:r>
        <w:rPr>
          <w:rFonts w:hint="eastAsia" w:ascii="Times New Roman" w:hAnsi="Times New Roman" w:cs="Times New Roman"/>
          <w:sz w:val="24"/>
        </w:rPr>
        <w:t>本项目 Q=</w:t>
      </w:r>
      <w:r>
        <w:rPr>
          <w:rFonts w:hint="eastAsia" w:ascii="Times New Roman" w:hAnsi="Times New Roman" w:cs="Times New Roman"/>
          <w:sz w:val="24"/>
          <w:lang w:val="en-US" w:eastAsia="zh-CN"/>
        </w:rPr>
        <w:t>0.0136</w:t>
      </w:r>
      <w:r>
        <w:rPr>
          <w:rFonts w:hint="eastAsia" w:ascii="Times New Roman" w:hAnsi="Times New Roman" w:cs="Times New Roman"/>
          <w:sz w:val="24"/>
        </w:rPr>
        <w:t>＜1。因此，该项目的环境风险潜势为Ⅰ，</w:t>
      </w:r>
      <w:r>
        <w:rPr>
          <w:rFonts w:ascii="Times New Roman" w:hAnsi="Times New Roman" w:cs="Times New Roman"/>
          <w:sz w:val="24"/>
        </w:rPr>
        <w:t>因此项目贮存区不构成重大危险源。</w:t>
      </w:r>
    </w:p>
    <w:p>
      <w:pPr>
        <w:adjustRightInd w:val="0"/>
        <w:snapToGrid w:val="0"/>
        <w:spacing w:line="500" w:lineRule="exact"/>
        <w:rPr>
          <w:rFonts w:ascii="Times New Roman" w:hAnsi="Times New Roman" w:cs="Times New Roman"/>
          <w:bCs/>
          <w:sz w:val="24"/>
        </w:rPr>
      </w:pPr>
      <w:r>
        <w:rPr>
          <w:rFonts w:hint="eastAsia" w:ascii="Times New Roman" w:hAnsi="Times New Roman" w:cs="Times New Roman"/>
          <w:bCs/>
          <w:sz w:val="24"/>
        </w:rPr>
        <w:t>（3）评价等级</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《建设项目环境风险评价技术导则》（HJ 169-2018）中评价等级划分依据见下表5</w:t>
      </w:r>
      <w:r>
        <w:rPr>
          <w:rFonts w:ascii="Times New Roman" w:hAnsi="Times New Roman" w:cs="Times New Roman"/>
          <w:sz w:val="24"/>
        </w:rPr>
        <w:t>。</w:t>
      </w:r>
    </w:p>
    <w:p>
      <w:pPr>
        <w:pStyle w:val="22"/>
        <w:adjustRightInd w:val="0"/>
        <w:snapToGrid w:val="0"/>
        <w:spacing w:line="500" w:lineRule="exact"/>
        <w:ind w:left="567" w:firstLine="0" w:firstLineChars="0"/>
        <w:rPr>
          <w:rFonts w:ascii="Times New Roman" w:hAnsi="Times New Roman" w:cs="Times New Roman"/>
          <w:b/>
          <w:spacing w:val="6"/>
          <w:szCs w:val="21"/>
        </w:rPr>
      </w:pPr>
      <w:r>
        <w:rPr>
          <w:rFonts w:hint="eastAsia" w:ascii="Times New Roman" w:hAnsi="Times New Roman" w:cs="Times New Roman"/>
          <w:b/>
          <w:spacing w:val="6"/>
          <w:szCs w:val="21"/>
        </w:rPr>
        <w:t>表5                     风险评价工作等级划分表</w:t>
      </w:r>
    </w:p>
    <w:tbl>
      <w:tblPr>
        <w:tblStyle w:val="11"/>
        <w:tblW w:w="866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1575"/>
        <w:gridCol w:w="1890"/>
        <w:gridCol w:w="1953"/>
        <w:gridCol w:w="16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78" w:type="dxa"/>
            <w:vAlign w:val="center"/>
          </w:tcPr>
          <w:p>
            <w:pPr>
              <w:adjustRightInd w:val="0"/>
              <w:snapToGrid w:val="0"/>
              <w:jc w:val="center"/>
              <w:rPr>
                <w:rFonts w:ascii="Times New Roman" w:hAnsi="Times New Roman" w:cs="Times New Roman"/>
              </w:rPr>
            </w:pPr>
            <w:r>
              <w:rPr>
                <w:rFonts w:ascii="Times New Roman" w:hAnsi="Times New Roman" w:cs="Times New Roman"/>
              </w:rPr>
              <w:t xml:space="preserve">环境风险潜势  </w:t>
            </w:r>
          </w:p>
        </w:tc>
        <w:tc>
          <w:tcPr>
            <w:tcW w:w="1575" w:type="dxa"/>
            <w:vAlign w:val="center"/>
          </w:tcPr>
          <w:p>
            <w:pPr>
              <w:adjustRightInd w:val="0"/>
              <w:snapToGrid w:val="0"/>
              <w:jc w:val="center"/>
              <w:rPr>
                <w:rFonts w:ascii="Times New Roman" w:hAnsi="Times New Roman" w:cs="Times New Roman"/>
              </w:rPr>
            </w:pPr>
            <w:r>
              <w:rPr>
                <w:rFonts w:ascii="Times New Roman" w:hAnsi="Times New Roman" w:cs="Times New Roman"/>
              </w:rPr>
              <w:t>Ⅳ、Ⅳ</w:t>
            </w:r>
            <w:r>
              <w:rPr>
                <w:rFonts w:ascii="Times New Roman" w:hAnsi="Times New Roman" w:cs="Times New Roman"/>
                <w:sz w:val="24"/>
                <w:vertAlign w:val="superscript"/>
              </w:rPr>
              <w:t>+</w:t>
            </w:r>
          </w:p>
        </w:tc>
        <w:tc>
          <w:tcPr>
            <w:tcW w:w="1890" w:type="dxa"/>
            <w:vAlign w:val="center"/>
          </w:tcPr>
          <w:p>
            <w:pPr>
              <w:adjustRightInd w:val="0"/>
              <w:snapToGrid w:val="0"/>
              <w:jc w:val="center"/>
              <w:rPr>
                <w:rFonts w:ascii="Times New Roman" w:hAnsi="Times New Roman" w:cs="Times New Roman"/>
              </w:rPr>
            </w:pPr>
            <w:r>
              <w:rPr>
                <w:rFonts w:hint="eastAsia" w:ascii="Times New Roman" w:hAnsi="Times New Roman" w:cs="Times New Roman"/>
              </w:rPr>
              <w:t>Ⅲ</w:t>
            </w:r>
          </w:p>
        </w:tc>
        <w:tc>
          <w:tcPr>
            <w:tcW w:w="1953" w:type="dxa"/>
            <w:vAlign w:val="center"/>
          </w:tcPr>
          <w:p>
            <w:pPr>
              <w:adjustRightInd w:val="0"/>
              <w:snapToGrid w:val="0"/>
              <w:jc w:val="center"/>
              <w:rPr>
                <w:rFonts w:ascii="Times New Roman" w:hAnsi="Times New Roman" w:cs="Times New Roman"/>
              </w:rPr>
            </w:pPr>
            <w:r>
              <w:rPr>
                <w:rFonts w:hint="eastAsia" w:ascii="Times New Roman" w:hAnsi="Times New Roman" w:cs="Times New Roman"/>
              </w:rPr>
              <w:t>Ⅱ</w:t>
            </w:r>
          </w:p>
        </w:tc>
        <w:tc>
          <w:tcPr>
            <w:tcW w:w="1666" w:type="dxa"/>
            <w:vAlign w:val="center"/>
          </w:tcPr>
          <w:p>
            <w:pPr>
              <w:adjustRightInd w:val="0"/>
              <w:snapToGrid w:val="0"/>
              <w:jc w:val="center"/>
              <w:rPr>
                <w:rFonts w:ascii="Times New Roman" w:hAnsi="Times New Roman" w:cs="Times New Roman"/>
              </w:rPr>
            </w:pPr>
            <w:r>
              <w:rPr>
                <w:rFonts w:hint="eastAsia" w:ascii="Times New Roman" w:hAnsi="Times New Roman" w:cs="Times New Roman"/>
              </w:rPr>
              <w:t>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78" w:type="dxa"/>
            <w:vAlign w:val="center"/>
          </w:tcPr>
          <w:p>
            <w:pPr>
              <w:adjustRightInd w:val="0"/>
              <w:snapToGrid w:val="0"/>
              <w:jc w:val="center"/>
              <w:rPr>
                <w:rFonts w:ascii="Times New Roman" w:hAnsi="Times New Roman" w:cs="Times New Roman"/>
              </w:rPr>
            </w:pPr>
            <w:r>
              <w:rPr>
                <w:rFonts w:ascii="Times New Roman" w:hAnsi="Times New Roman" w:cs="Times New Roman"/>
              </w:rPr>
              <w:t>评价工作等级</w:t>
            </w:r>
          </w:p>
        </w:tc>
        <w:tc>
          <w:tcPr>
            <w:tcW w:w="1575" w:type="dxa"/>
            <w:vAlign w:val="center"/>
          </w:tcPr>
          <w:p>
            <w:pPr>
              <w:adjustRightInd w:val="0"/>
              <w:snapToGrid w:val="0"/>
              <w:jc w:val="center"/>
              <w:rPr>
                <w:rFonts w:ascii="Times New Roman" w:hAnsi="Times New Roman" w:cs="Times New Roman"/>
              </w:rPr>
            </w:pPr>
            <w:r>
              <w:rPr>
                <w:rFonts w:ascii="Times New Roman" w:hAnsi="Times New Roman" w:cs="Times New Roman"/>
              </w:rPr>
              <w:t>一</w:t>
            </w:r>
          </w:p>
        </w:tc>
        <w:tc>
          <w:tcPr>
            <w:tcW w:w="1890" w:type="dxa"/>
            <w:vAlign w:val="center"/>
          </w:tcPr>
          <w:p>
            <w:pPr>
              <w:adjustRightInd w:val="0"/>
              <w:snapToGrid w:val="0"/>
              <w:jc w:val="center"/>
              <w:rPr>
                <w:rFonts w:ascii="Times New Roman" w:hAnsi="Times New Roman" w:cs="Times New Roman"/>
              </w:rPr>
            </w:pPr>
            <w:r>
              <w:rPr>
                <w:rFonts w:ascii="Times New Roman" w:hAnsi="Times New Roman" w:cs="Times New Roman"/>
              </w:rPr>
              <w:t>二</w:t>
            </w:r>
          </w:p>
        </w:tc>
        <w:tc>
          <w:tcPr>
            <w:tcW w:w="1953" w:type="dxa"/>
            <w:vAlign w:val="center"/>
          </w:tcPr>
          <w:p>
            <w:pPr>
              <w:adjustRightInd w:val="0"/>
              <w:snapToGrid w:val="0"/>
              <w:jc w:val="center"/>
              <w:rPr>
                <w:rFonts w:ascii="Times New Roman" w:hAnsi="Times New Roman" w:cs="Times New Roman"/>
              </w:rPr>
            </w:pPr>
            <w:r>
              <w:rPr>
                <w:rFonts w:ascii="Times New Roman" w:hAnsi="Times New Roman" w:cs="Times New Roman"/>
              </w:rPr>
              <w:t>三</w:t>
            </w:r>
          </w:p>
        </w:tc>
        <w:tc>
          <w:tcPr>
            <w:tcW w:w="1666" w:type="dxa"/>
            <w:vAlign w:val="center"/>
          </w:tcPr>
          <w:p>
            <w:pPr>
              <w:adjustRightInd w:val="0"/>
              <w:snapToGrid w:val="0"/>
              <w:jc w:val="center"/>
              <w:rPr>
                <w:rFonts w:ascii="Times New Roman" w:hAnsi="Times New Roman" w:cs="Times New Roman"/>
              </w:rPr>
            </w:pPr>
            <w:r>
              <w:rPr>
                <w:rFonts w:ascii="Times New Roman" w:hAnsi="Times New Roman" w:cs="Times New Roman"/>
              </w:rPr>
              <w:t>简单分析</w:t>
            </w:r>
            <w:r>
              <w:rPr>
                <w:rFonts w:ascii="Times New Roman" w:hAnsi="Times New Roman" w:cs="Times New Roman"/>
                <w:sz w:val="28"/>
                <w:vertAlign w:val="superscript"/>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62" w:type="dxa"/>
            <w:gridSpan w:val="5"/>
            <w:vAlign w:val="center"/>
          </w:tcPr>
          <w:p>
            <w:pPr>
              <w:adjustRightInd w:val="0"/>
              <w:snapToGrid w:val="0"/>
              <w:jc w:val="left"/>
              <w:rPr>
                <w:rFonts w:ascii="Times New Roman" w:hAnsi="Times New Roman" w:cs="Times New Roman"/>
              </w:rPr>
            </w:pPr>
            <w:r>
              <w:rPr>
                <w:rFonts w:hint="eastAsia" w:ascii="Times New Roman" w:hAnsi="Times New Roman" w:cs="Times New Roman"/>
                <w:sz w:val="28"/>
                <w:vertAlign w:val="superscript"/>
              </w:rPr>
              <w:t xml:space="preserve">a </w:t>
            </w:r>
            <w:r>
              <w:rPr>
                <w:rFonts w:hint="eastAsia" w:ascii="Times New Roman" w:hAnsi="Times New Roman" w:cs="Times New Roman"/>
              </w:rPr>
              <w:t>是相对于详细评价工作内容而言，在描述危险物质、环境影响途径、环境危害后果、</w:t>
            </w:r>
          </w:p>
          <w:p>
            <w:pPr>
              <w:adjustRightInd w:val="0"/>
              <w:snapToGrid w:val="0"/>
              <w:jc w:val="left"/>
              <w:rPr>
                <w:rFonts w:ascii="Times New Roman" w:hAnsi="Times New Roman" w:cs="Times New Roman"/>
              </w:rPr>
            </w:pPr>
            <w:r>
              <w:rPr>
                <w:rFonts w:hint="eastAsia" w:ascii="Times New Roman" w:hAnsi="Times New Roman" w:cs="Times New Roman"/>
              </w:rPr>
              <w:t>风险防范措施等方面给出定性的说明。</w:t>
            </w:r>
          </w:p>
        </w:tc>
      </w:tr>
    </w:tbl>
    <w:p>
      <w:pPr>
        <w:adjustRightInd w:val="0"/>
        <w:snapToGrid w:val="0"/>
        <w:spacing w:line="500" w:lineRule="exact"/>
        <w:ind w:firstLine="480" w:firstLineChars="200"/>
        <w:rPr>
          <w:rFonts w:hint="eastAsia" w:ascii="Times New Roman" w:hAnsi="Times New Roman" w:cs="Times New Roman"/>
          <w:b w:val="0"/>
          <w:bCs/>
          <w:sz w:val="24"/>
          <w:u w:val="none"/>
          <w:lang w:eastAsia="zh-CN"/>
        </w:rPr>
      </w:pPr>
      <w:bookmarkStart w:id="5" w:name="_Toc212527137"/>
      <w:r>
        <w:rPr>
          <w:rFonts w:hint="eastAsia" w:ascii="Times New Roman" w:hAnsi="Times New Roman" w:cs="Times New Roman"/>
          <w:b w:val="0"/>
          <w:bCs/>
          <w:sz w:val="24"/>
          <w:u w:val="none"/>
          <w:lang w:eastAsia="zh-CN"/>
        </w:rPr>
        <w:t>由上可知，当项目</w:t>
      </w:r>
      <w:r>
        <w:rPr>
          <w:rFonts w:hint="eastAsia" w:ascii="Times New Roman" w:hAnsi="Times New Roman" w:cs="Times New Roman"/>
          <w:b w:val="0"/>
          <w:bCs/>
          <w:sz w:val="24"/>
          <w:u w:val="none"/>
        </w:rPr>
        <w:t>环境风险潜势为Ⅰ</w:t>
      </w:r>
      <w:r>
        <w:rPr>
          <w:rFonts w:hint="eastAsia" w:ascii="Times New Roman" w:hAnsi="Times New Roman" w:cs="Times New Roman"/>
          <w:b w:val="0"/>
          <w:bCs/>
          <w:sz w:val="24"/>
          <w:u w:val="none"/>
          <w:lang w:eastAsia="zh-CN"/>
        </w:rPr>
        <w:t>时，</w:t>
      </w:r>
      <w:r>
        <w:rPr>
          <w:rFonts w:hint="eastAsia" w:ascii="Times New Roman" w:hAnsi="Times New Roman" w:cs="Times New Roman"/>
          <w:b w:val="0"/>
          <w:bCs/>
          <w:sz w:val="24"/>
          <w:u w:val="none"/>
        </w:rPr>
        <w:t>项目环境风险评价工作内容可开展简单分析</w:t>
      </w:r>
      <w:r>
        <w:rPr>
          <w:rFonts w:hint="eastAsia" w:ascii="Times New Roman" w:hAnsi="Times New Roman" w:cs="Times New Roman"/>
          <w:b w:val="0"/>
          <w:bCs/>
          <w:sz w:val="24"/>
          <w:u w:val="none"/>
          <w:lang w:eastAsia="zh-CN"/>
        </w:rPr>
        <w:t>。</w:t>
      </w:r>
    </w:p>
    <w:p>
      <w:pPr>
        <w:adjustRightInd w:val="0"/>
        <w:snapToGrid w:val="0"/>
        <w:spacing w:line="500" w:lineRule="exact"/>
        <w:ind w:firstLine="480" w:firstLineChars="200"/>
        <w:rPr>
          <w:rFonts w:ascii="Times New Roman" w:hAnsi="Times New Roman" w:cs="Times New Roman"/>
          <w:b w:val="0"/>
          <w:bCs/>
          <w:sz w:val="24"/>
          <w:u w:val="none"/>
        </w:rPr>
      </w:pPr>
      <w:r>
        <w:rPr>
          <w:rFonts w:hint="eastAsia" w:ascii="Times New Roman" w:hAnsi="Times New Roman" w:cs="Times New Roman"/>
          <w:b w:val="0"/>
          <w:bCs/>
          <w:sz w:val="24"/>
          <w:u w:val="none"/>
          <w:lang w:eastAsia="zh-CN"/>
        </w:rPr>
        <w:t>综上可知，</w:t>
      </w:r>
      <w:r>
        <w:rPr>
          <w:rFonts w:hint="eastAsia" w:ascii="Times New Roman" w:hAnsi="Times New Roman" w:cs="Times New Roman"/>
          <w:b w:val="0"/>
          <w:bCs/>
          <w:sz w:val="24"/>
          <w:u w:val="none"/>
        </w:rPr>
        <w:t>本项目环境风险评价工作内容可开展简单分析，提出防范、减缓和应急措施。</w:t>
      </w:r>
    </w:p>
    <w:p>
      <w:pPr>
        <w:adjustRightInd w:val="0"/>
        <w:snapToGrid w:val="0"/>
        <w:spacing w:line="500" w:lineRule="exact"/>
        <w:rPr>
          <w:rFonts w:ascii="Times New Roman" w:hAnsi="Times New Roman" w:cs="Times New Roman"/>
          <w:b/>
          <w:bCs/>
          <w:sz w:val="24"/>
        </w:rPr>
      </w:pPr>
      <w:r>
        <w:rPr>
          <w:rFonts w:hint="eastAsia" w:ascii="Times New Roman" w:hAnsi="Times New Roman" w:cs="Times New Roman"/>
          <w:b/>
          <w:bCs/>
          <w:sz w:val="24"/>
        </w:rPr>
        <w:t>2.2</w:t>
      </w:r>
      <w:r>
        <w:rPr>
          <w:rFonts w:ascii="Times New Roman" w:hAnsi="Times New Roman" w:cs="Times New Roman"/>
          <w:b/>
          <w:bCs/>
          <w:sz w:val="24"/>
        </w:rPr>
        <w:t>、</w:t>
      </w:r>
      <w:r>
        <w:rPr>
          <w:rFonts w:hint="eastAsia" w:ascii="Times New Roman" w:hAnsi="Times New Roman" w:cs="Times New Roman"/>
          <w:b/>
          <w:bCs/>
          <w:sz w:val="24"/>
        </w:rPr>
        <w:t>环境敏感目标概况</w:t>
      </w:r>
    </w:p>
    <w:p>
      <w:pPr>
        <w:adjustRightInd w:val="0"/>
        <w:snapToGrid w:val="0"/>
        <w:spacing w:line="500" w:lineRule="exact"/>
        <w:ind w:firstLine="480" w:firstLineChars="200"/>
        <w:rPr>
          <w:rFonts w:ascii="Times New Roman" w:hAnsi="Times New Roman" w:cs="Times New Roman"/>
          <w:color w:val="auto"/>
          <w:sz w:val="24"/>
        </w:rPr>
      </w:pPr>
      <w:r>
        <w:rPr>
          <w:rFonts w:hint="eastAsia" w:ascii="Times New Roman" w:hAnsi="Times New Roman" w:cs="Times New Roman"/>
          <w:color w:val="auto"/>
          <w:sz w:val="24"/>
        </w:rPr>
        <w:t>风险评价范围内保护目标见表6。</w:t>
      </w:r>
    </w:p>
    <w:p>
      <w:pPr>
        <w:autoSpaceDE w:val="0"/>
        <w:autoSpaceDN w:val="0"/>
        <w:adjustRightInd w:val="0"/>
        <w:spacing w:line="520" w:lineRule="exact"/>
        <w:ind w:left="567"/>
        <w:rPr>
          <w:rFonts w:ascii="Times New Roman" w:hAnsi="Times New Roman" w:cs="Times New Roman"/>
          <w:b/>
          <w:bCs/>
          <w:kern w:val="0"/>
          <w:szCs w:val="21"/>
        </w:rPr>
      </w:pPr>
      <w:r>
        <w:rPr>
          <w:rFonts w:ascii="Times New Roman" w:hAnsi="宋体" w:cs="Times New Roman"/>
          <w:b/>
          <w:bCs/>
          <w:szCs w:val="21"/>
        </w:rPr>
        <w:t>表</w:t>
      </w:r>
      <w:r>
        <w:rPr>
          <w:rFonts w:hint="eastAsia" w:ascii="Times New Roman" w:hAnsi="Times New Roman" w:cs="Times New Roman"/>
          <w:b/>
          <w:bCs/>
          <w:szCs w:val="21"/>
        </w:rPr>
        <w:t>6       环境风险保护目标</w:t>
      </w:r>
    </w:p>
    <w:tbl>
      <w:tblPr>
        <w:tblStyle w:val="11"/>
        <w:tblW w:w="8946" w:type="dxa"/>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675"/>
        <w:gridCol w:w="1701"/>
        <w:gridCol w:w="1418"/>
        <w:gridCol w:w="1134"/>
        <w:gridCol w:w="1559"/>
        <w:gridCol w:w="2459"/>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cs="Times New Roman"/>
                <w:b/>
                <w:bCs/>
                <w:szCs w:val="21"/>
              </w:rPr>
            </w:pPr>
            <w:r>
              <w:rPr>
                <w:rFonts w:ascii="Times New Roman" w:hAnsi="Times New Roman" w:cs="Times New Roman"/>
                <w:b/>
                <w:bCs/>
                <w:szCs w:val="21"/>
              </w:rPr>
              <w:t>序号</w:t>
            </w:r>
          </w:p>
        </w:tc>
        <w:tc>
          <w:tcPr>
            <w:tcW w:w="1701" w:type="dxa"/>
            <w:tcBorders>
              <w:right w:val="single" w:color="auto" w:sz="4" w:space="0"/>
            </w:tcBorders>
            <w:shd w:val="clear" w:color="auto" w:fill="auto"/>
            <w:vAlign w:val="center"/>
          </w:tcPr>
          <w:p>
            <w:pPr>
              <w:spacing w:line="360" w:lineRule="exact"/>
              <w:jc w:val="center"/>
              <w:rPr>
                <w:rFonts w:ascii="Times New Roman" w:hAnsi="Times New Roman" w:cs="Times New Roman"/>
                <w:b/>
                <w:bCs/>
                <w:szCs w:val="21"/>
              </w:rPr>
            </w:pPr>
            <w:r>
              <w:rPr>
                <w:rFonts w:hint="eastAsia" w:ascii="Times New Roman" w:hAnsi="Times New Roman" w:cs="Times New Roman"/>
                <w:b/>
                <w:bCs/>
                <w:szCs w:val="21"/>
              </w:rPr>
              <w:t>名称</w:t>
            </w:r>
          </w:p>
        </w:tc>
        <w:tc>
          <w:tcPr>
            <w:tcW w:w="1418" w:type="dxa"/>
            <w:tcBorders>
              <w:left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b/>
                <w:bCs/>
                <w:szCs w:val="21"/>
              </w:rPr>
            </w:pPr>
            <w:r>
              <w:rPr>
                <w:rFonts w:hint="eastAsia" w:ascii="Times New Roman" w:hAnsi="Times New Roman" w:cs="Times New Roman"/>
                <w:b/>
                <w:bCs/>
                <w:szCs w:val="21"/>
              </w:rPr>
              <w:t>保护对象</w:t>
            </w:r>
          </w:p>
        </w:tc>
        <w:tc>
          <w:tcPr>
            <w:tcW w:w="1134" w:type="dxa"/>
            <w:tcBorders>
              <w:left w:val="single" w:color="auto" w:sz="4" w:space="0"/>
            </w:tcBorders>
            <w:shd w:val="clear" w:color="auto" w:fill="auto"/>
            <w:vAlign w:val="center"/>
          </w:tcPr>
          <w:p>
            <w:pPr>
              <w:spacing w:line="360" w:lineRule="exact"/>
              <w:jc w:val="center"/>
              <w:rPr>
                <w:rFonts w:ascii="Times New Roman" w:hAnsi="Times New Roman" w:cs="Times New Roman"/>
                <w:b/>
                <w:bCs/>
                <w:szCs w:val="21"/>
              </w:rPr>
            </w:pPr>
            <w:r>
              <w:rPr>
                <w:rFonts w:hint="eastAsia" w:ascii="Times New Roman" w:hAnsi="Times New Roman" w:cs="Times New Roman"/>
                <w:b/>
                <w:bCs/>
                <w:szCs w:val="21"/>
              </w:rPr>
              <w:t>保护内容</w:t>
            </w:r>
          </w:p>
        </w:tc>
        <w:tc>
          <w:tcPr>
            <w:tcW w:w="1559" w:type="dxa"/>
            <w:tcBorders>
              <w:right w:val="single" w:color="auto" w:sz="4" w:space="0"/>
            </w:tcBorders>
            <w:shd w:val="clear" w:color="auto" w:fill="auto"/>
            <w:vAlign w:val="center"/>
          </w:tcPr>
          <w:p>
            <w:pPr>
              <w:spacing w:line="360" w:lineRule="exact"/>
              <w:jc w:val="center"/>
              <w:rPr>
                <w:rFonts w:ascii="Times New Roman" w:hAnsi="Times New Roman" w:cs="Times New Roman"/>
                <w:b/>
                <w:bCs/>
                <w:szCs w:val="21"/>
              </w:rPr>
            </w:pPr>
            <w:r>
              <w:rPr>
                <w:rFonts w:hint="eastAsia" w:ascii="Times New Roman" w:hAnsi="Times New Roman" w:cs="Times New Roman"/>
                <w:b/>
                <w:bCs/>
                <w:szCs w:val="21"/>
              </w:rPr>
              <w:t>相对站区方位</w:t>
            </w:r>
          </w:p>
        </w:tc>
        <w:tc>
          <w:tcPr>
            <w:tcW w:w="2459" w:type="dxa"/>
            <w:tcBorders>
              <w:left w:val="single" w:color="auto" w:sz="4" w:space="0"/>
            </w:tcBorders>
            <w:shd w:val="clear" w:color="auto" w:fill="auto"/>
            <w:vAlign w:val="center"/>
          </w:tcPr>
          <w:p>
            <w:pPr>
              <w:spacing w:line="360" w:lineRule="exact"/>
              <w:jc w:val="center"/>
              <w:rPr>
                <w:rFonts w:ascii="Times New Roman" w:hAnsi="Times New Roman" w:cs="Times New Roman"/>
                <w:b/>
                <w:bCs/>
                <w:szCs w:val="21"/>
              </w:rPr>
            </w:pPr>
            <w:r>
              <w:rPr>
                <w:rFonts w:hint="eastAsia" w:ascii="Times New Roman" w:hAnsi="Times New Roman" w:cs="Times New Roman"/>
                <w:b/>
                <w:bCs/>
                <w:szCs w:val="21"/>
              </w:rPr>
              <w:t>相对厂界距离</w:t>
            </w:r>
          </w:p>
          <w:p>
            <w:pPr>
              <w:spacing w:line="360" w:lineRule="exact"/>
              <w:jc w:val="center"/>
              <w:rPr>
                <w:rFonts w:ascii="Times New Roman" w:hAnsi="Times New Roman" w:cs="Times New Roman"/>
                <w:b/>
                <w:bCs/>
                <w:szCs w:val="21"/>
              </w:rPr>
            </w:pPr>
            <w:r>
              <w:rPr>
                <w:rFonts w:hint="eastAsia" w:ascii="Times New Roman" w:hAnsi="Times New Roman" w:cs="Times New Roman"/>
                <w:b/>
                <w:bCs/>
                <w:szCs w:val="21"/>
              </w:rPr>
              <w:t>（m）</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cs="Times New Roman"/>
                <w:bCs/>
                <w:szCs w:val="21"/>
              </w:rPr>
            </w:pPr>
            <w:r>
              <w:rPr>
                <w:rFonts w:ascii="Times New Roman" w:hAnsi="Times New Roman" w:cs="Times New Roman"/>
                <w:bCs/>
                <w:szCs w:val="21"/>
              </w:rPr>
              <w:t>1</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磙子营乡</w:t>
            </w:r>
          </w:p>
        </w:tc>
        <w:tc>
          <w:tcPr>
            <w:tcW w:w="1418" w:type="dxa"/>
            <w:tcBorders>
              <w:left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2000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cs="Times New Roman"/>
                <w:bCs/>
                <w:szCs w:val="21"/>
              </w:rPr>
            </w:pPr>
            <w:r>
              <w:rPr>
                <w:rFonts w:ascii="Times New Roman" w:hAnsi="Times New Roman" w:cs="Times New Roman"/>
                <w:bCs/>
                <w:szCs w:val="21"/>
              </w:rPr>
              <w:t>2</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双龙店村</w:t>
            </w:r>
          </w:p>
        </w:tc>
        <w:tc>
          <w:tcPr>
            <w:tcW w:w="1418" w:type="dxa"/>
            <w:tcBorders>
              <w:left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880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cs="Times New Roman"/>
                <w:bCs/>
                <w:szCs w:val="21"/>
              </w:rPr>
            </w:pPr>
            <w:r>
              <w:rPr>
                <w:rFonts w:ascii="Times New Roman" w:hAnsi="Times New Roman" w:cs="Times New Roman"/>
                <w:bCs/>
                <w:szCs w:val="21"/>
              </w:rPr>
              <w:t>3</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宋庄村</w:t>
            </w:r>
          </w:p>
        </w:tc>
        <w:tc>
          <w:tcPr>
            <w:tcW w:w="1418" w:type="dxa"/>
            <w:tcBorders>
              <w:left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rPr>
              <w:t>东</w:t>
            </w:r>
            <w:r>
              <w:rPr>
                <w:rFonts w:hint="eastAsia" w:ascii="Times New Roman" w:hAnsi="Times New Roman" w:cs="Times New Roman"/>
                <w:bCs/>
                <w:szCs w:val="21"/>
                <w:lang w:eastAsia="zh-CN"/>
              </w:rPr>
              <w:t>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1900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cs="Times New Roman"/>
                <w:bCs/>
                <w:szCs w:val="21"/>
              </w:rPr>
            </w:pPr>
            <w:r>
              <w:rPr>
                <w:rFonts w:ascii="Times New Roman" w:hAnsi="Times New Roman" w:cs="Times New Roman"/>
                <w:bCs/>
                <w:szCs w:val="21"/>
              </w:rPr>
              <w:t>4</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董庄村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740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cs="Times New Roman"/>
                <w:bCs/>
                <w:szCs w:val="21"/>
              </w:rPr>
            </w:pPr>
            <w:r>
              <w:rPr>
                <w:rFonts w:ascii="Times New Roman" w:hAnsi="Times New Roman" w:cs="Times New Roman"/>
                <w:bCs/>
                <w:szCs w:val="21"/>
              </w:rPr>
              <w:t>5</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平庄村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2350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rPr>
              <w:t>6</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关西刘村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1550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eastAsia="宋体" w:cs="Times New Roman"/>
                <w:bCs/>
                <w:kern w:val="2"/>
                <w:sz w:val="21"/>
                <w:szCs w:val="21"/>
                <w:lang w:val="en-US" w:eastAsia="zh-CN" w:bidi="ar-SA"/>
              </w:rPr>
            </w:pPr>
            <w:r>
              <w:rPr>
                <w:rFonts w:hint="eastAsia" w:ascii="Times New Roman" w:hAnsi="Times New Roman" w:cs="Times New Roman"/>
                <w:bCs/>
                <w:szCs w:val="21"/>
              </w:rPr>
              <w:t>7</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关西庄村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1860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eastAsia="宋体" w:cs="Times New Roman"/>
                <w:bCs/>
                <w:kern w:val="2"/>
                <w:sz w:val="21"/>
                <w:szCs w:val="21"/>
                <w:lang w:val="en-US" w:eastAsia="zh-CN" w:bidi="ar-SA"/>
              </w:rPr>
            </w:pPr>
            <w:r>
              <w:rPr>
                <w:rFonts w:hint="eastAsia" w:ascii="Times New Roman" w:hAnsi="Times New Roman" w:cs="Times New Roman"/>
                <w:bCs/>
                <w:szCs w:val="21"/>
              </w:rPr>
              <w:t>8</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小尹庄村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ascii="Times New Roman" w:hAnsi="Times New Roman" w:cs="Times New Roman"/>
                <w:bCs/>
                <w:szCs w:val="21"/>
              </w:rPr>
            </w:pPr>
            <w:r>
              <w:rPr>
                <w:rFonts w:hint="eastAsia" w:ascii="Times New Roman" w:hAnsi="Times New Roman" w:cs="Times New Roman"/>
                <w:bCs/>
                <w:szCs w:val="21"/>
                <w:lang w:eastAsia="zh-CN"/>
              </w:rPr>
              <w:t>东</w:t>
            </w:r>
            <w:r>
              <w:rPr>
                <w:rFonts w:hint="eastAsia" w:ascii="Times New Roman" w:hAnsi="Times New Roman" w:cs="Times New Roman"/>
                <w:bCs/>
                <w:szCs w:val="21"/>
              </w:rPr>
              <w:t>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1410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eastAsia="宋体" w:cs="Times New Roman"/>
                <w:bCs/>
                <w:kern w:val="2"/>
                <w:sz w:val="21"/>
                <w:szCs w:val="21"/>
                <w:lang w:val="en-US" w:eastAsia="zh-CN" w:bidi="ar-SA"/>
              </w:rPr>
            </w:pPr>
            <w:r>
              <w:rPr>
                <w:rFonts w:hint="eastAsia" w:ascii="Times New Roman" w:hAnsi="Times New Roman" w:cs="Times New Roman"/>
                <w:bCs/>
                <w:szCs w:val="21"/>
              </w:rPr>
              <w:t>9</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大尹庄村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2280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eastAsia="宋体" w:cs="Times New Roman"/>
                <w:bCs/>
                <w:kern w:val="2"/>
                <w:sz w:val="21"/>
                <w:szCs w:val="21"/>
                <w:lang w:val="en-US" w:eastAsia="zh-CN" w:bidi="ar-SA"/>
              </w:rPr>
            </w:pPr>
            <w:r>
              <w:rPr>
                <w:rFonts w:hint="eastAsia" w:ascii="Times New Roman" w:hAnsi="Times New Roman" w:cs="Times New Roman"/>
                <w:bCs/>
                <w:szCs w:val="21"/>
              </w:rPr>
              <w:t>10</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刘庄村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1570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ascii="Times New Roman" w:hAnsi="Times New Roman" w:eastAsia="宋体" w:cs="Times New Roman"/>
                <w:bCs/>
                <w:kern w:val="2"/>
                <w:sz w:val="21"/>
                <w:szCs w:val="21"/>
                <w:lang w:val="en-US" w:eastAsia="zh-CN" w:bidi="ar-SA"/>
              </w:rPr>
            </w:pPr>
            <w:r>
              <w:rPr>
                <w:rFonts w:hint="eastAsia" w:ascii="Times New Roman" w:hAnsi="Times New Roman" w:cs="Times New Roman"/>
                <w:bCs/>
                <w:szCs w:val="21"/>
              </w:rPr>
              <w:t>11</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韩庄村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东南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800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12</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井泉村</w:t>
            </w:r>
          </w:p>
        </w:tc>
        <w:tc>
          <w:tcPr>
            <w:tcW w:w="1418" w:type="dxa"/>
            <w:tcBorders>
              <w:left w:val="single" w:color="auto" w:sz="4" w:space="0"/>
              <w:right w:val="single" w:color="auto" w:sz="4" w:space="0"/>
            </w:tcBorders>
            <w:shd w:val="clear" w:color="auto" w:fill="auto"/>
            <w:vAlign w:val="center"/>
          </w:tcPr>
          <w:p>
            <w:pPr>
              <w:jc w:val="center"/>
            </w:pPr>
            <w:r>
              <w:rPr>
                <w:rFonts w:hint="eastAsia" w:ascii="Times New Roman" w:hAnsi="Times New Roman" w:cs="Times New Roman"/>
                <w:bCs/>
                <w:szCs w:val="21"/>
              </w:rPr>
              <w:t>村落</w:t>
            </w:r>
          </w:p>
        </w:tc>
        <w:tc>
          <w:tcPr>
            <w:tcW w:w="1134" w:type="dxa"/>
            <w:tcBorders>
              <w:left w:val="single" w:color="auto" w:sz="4" w:space="0"/>
            </w:tcBorders>
            <w:shd w:val="clear" w:color="auto" w:fill="auto"/>
            <w:vAlign w:val="center"/>
          </w:tcPr>
          <w:p>
            <w:pPr>
              <w:jc w:val="center"/>
            </w:pPr>
            <w:r>
              <w:rPr>
                <w:rFonts w:hint="eastAsia" w:ascii="Times New Roman" w:hAnsi="Times New Roman" w:cs="Times New Roman"/>
                <w:bCs/>
                <w:szCs w:val="21"/>
              </w:rPr>
              <w:t>居民</w:t>
            </w:r>
          </w:p>
        </w:tc>
        <w:tc>
          <w:tcPr>
            <w:tcW w:w="1559" w:type="dxa"/>
            <w:tcBorders>
              <w:right w:val="single" w:color="auto" w:sz="4" w:space="0"/>
            </w:tcBorders>
            <w:shd w:val="clear" w:color="auto" w:fill="auto"/>
            <w:vAlign w:val="center"/>
          </w:tcPr>
          <w:p>
            <w:pPr>
              <w:jc w:val="center"/>
              <w:rPr>
                <w:rFonts w:hint="eastAsia" w:eastAsia="宋体"/>
                <w:lang w:eastAsia="zh-CN"/>
              </w:rPr>
            </w:pPr>
            <w:r>
              <w:rPr>
                <w:rFonts w:hint="eastAsia"/>
                <w:lang w:eastAsia="zh-CN"/>
              </w:rPr>
              <w:t>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30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13</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后杨村</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lang w:eastAsia="zh-CN"/>
              </w:rPr>
              <w:t>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1100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14</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杨北村</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lang w:eastAsia="zh-CN"/>
              </w:rPr>
              <w:t>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1750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15</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郭胡桥村</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西南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2140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16</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任庄</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西南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1610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17</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柳林村</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西</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2130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18</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白庙村</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西</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980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19</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小东岗阜村</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cs="Times New Roman"/>
                <w:bCs/>
                <w:szCs w:val="21"/>
              </w:rPr>
            </w:pPr>
            <w:r>
              <w:rPr>
                <w:rFonts w:hint="eastAsia" w:ascii="Times New Roman" w:hAnsi="Times New Roman" w:cs="Times New Roman"/>
                <w:bCs/>
                <w:szCs w:val="21"/>
              </w:rPr>
              <w:t>西北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1330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675" w:type="dxa"/>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20</w:t>
            </w:r>
          </w:p>
        </w:tc>
        <w:tc>
          <w:tcPr>
            <w:tcW w:w="1701" w:type="dxa"/>
            <w:tcBorders>
              <w:right w:val="single" w:color="auto" w:sz="4" w:space="0"/>
            </w:tcBorders>
            <w:shd w:val="clear" w:color="auto" w:fill="auto"/>
            <w:vAlign w:val="center"/>
          </w:tcPr>
          <w:p>
            <w:pPr>
              <w:spacing w:line="360" w:lineRule="exact"/>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东岗阜村</w:t>
            </w:r>
          </w:p>
        </w:tc>
        <w:tc>
          <w:tcPr>
            <w:tcW w:w="1418" w:type="dxa"/>
            <w:tcBorders>
              <w:left w:val="single" w:color="auto" w:sz="4" w:space="0"/>
              <w:righ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村落</w:t>
            </w:r>
          </w:p>
        </w:tc>
        <w:tc>
          <w:tcPr>
            <w:tcW w:w="1134" w:type="dxa"/>
            <w:tcBorders>
              <w:left w:val="single" w:color="auto" w:sz="4" w:space="0"/>
            </w:tcBorders>
            <w:shd w:val="clear" w:color="auto" w:fill="auto"/>
            <w:vAlign w:val="center"/>
          </w:tcPr>
          <w:p>
            <w:pPr>
              <w:jc w:val="center"/>
              <w:rPr>
                <w:rFonts w:hint="eastAsia" w:ascii="Times New Roman" w:hAnsi="Times New Roman" w:cs="Times New Roman"/>
                <w:bCs/>
                <w:szCs w:val="21"/>
                <w:lang w:eastAsia="zh-CN"/>
              </w:rPr>
            </w:pPr>
            <w:r>
              <w:rPr>
                <w:rFonts w:hint="eastAsia" w:ascii="Times New Roman" w:hAnsi="Times New Roman" w:cs="Times New Roman"/>
                <w:bCs/>
                <w:szCs w:val="21"/>
                <w:lang w:eastAsia="zh-CN"/>
              </w:rPr>
              <w:t>居民</w:t>
            </w:r>
          </w:p>
        </w:tc>
        <w:tc>
          <w:tcPr>
            <w:tcW w:w="1559" w:type="dxa"/>
            <w:tcBorders>
              <w:right w:val="single" w:color="auto" w:sz="4" w:space="0"/>
            </w:tcBorders>
            <w:shd w:val="clear" w:color="auto" w:fill="auto"/>
            <w:vAlign w:val="center"/>
          </w:tcPr>
          <w:p>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eastAsia="zh-CN"/>
              </w:rPr>
              <w:t>西北</w:t>
            </w:r>
          </w:p>
        </w:tc>
        <w:tc>
          <w:tcPr>
            <w:tcW w:w="2459" w:type="dxa"/>
            <w:tcBorders>
              <w:left w:val="single" w:color="auto" w:sz="4" w:space="0"/>
            </w:tcBorders>
            <w:shd w:val="clear" w:color="auto" w:fill="auto"/>
            <w:vAlign w:val="center"/>
          </w:tcPr>
          <w:p>
            <w:pPr>
              <w:spacing w:line="360" w:lineRule="exact"/>
              <w:jc w:val="center"/>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1700</w:t>
            </w:r>
          </w:p>
        </w:tc>
      </w:tr>
    </w:tbl>
    <w:p>
      <w:pPr>
        <w:adjustRightInd w:val="0"/>
        <w:snapToGrid w:val="0"/>
        <w:spacing w:line="500" w:lineRule="exact"/>
        <w:rPr>
          <w:rFonts w:ascii="Times New Roman" w:hAnsi="Times New Roman" w:cs="Times New Roman"/>
          <w:b/>
          <w:bCs/>
          <w:sz w:val="24"/>
        </w:rPr>
      </w:pPr>
      <w:r>
        <w:rPr>
          <w:rFonts w:hint="eastAsia" w:ascii="Times New Roman" w:hAnsi="Times New Roman" w:cs="Times New Roman"/>
          <w:b/>
          <w:bCs/>
          <w:sz w:val="24"/>
        </w:rPr>
        <w:t>2.3</w:t>
      </w:r>
      <w:r>
        <w:rPr>
          <w:rFonts w:ascii="Times New Roman" w:hAnsi="Times New Roman" w:cs="Times New Roman"/>
          <w:b/>
          <w:bCs/>
          <w:sz w:val="24"/>
        </w:rPr>
        <w:t>、</w:t>
      </w:r>
      <w:r>
        <w:rPr>
          <w:rFonts w:hint="eastAsia" w:ascii="Times New Roman" w:hAnsi="Times New Roman" w:cs="Times New Roman"/>
          <w:b/>
          <w:bCs/>
          <w:sz w:val="24"/>
        </w:rPr>
        <w:t>环境风险识别</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（1）风险类型</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本项目涉及的环境风险类型包括危险物质（汽油、柴油）泄露，以及火灾、爆炸等引发的伴生/次生污染物排放。</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①危险物质泄露</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根据统计，加油站可能发油泄漏的部位、原因如下：</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油罐超装外溢：高液位报警器或液位指示失灵，操作未按时检尺量油。</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加油作业超装外溢：加油机故障及加油量估计错误（如汽车油箱油量指示偏</w:t>
      </w:r>
    </w:p>
    <w:p>
      <w:pPr>
        <w:adjustRightInd w:val="0"/>
        <w:snapToGrid w:val="0"/>
        <w:spacing w:line="500" w:lineRule="exact"/>
        <w:rPr>
          <w:rFonts w:ascii="Times New Roman" w:hAnsi="Times New Roman" w:cs="Times New Roman"/>
          <w:sz w:val="24"/>
        </w:rPr>
      </w:pPr>
      <w:r>
        <w:rPr>
          <w:rFonts w:hint="eastAsia" w:ascii="Times New Roman" w:hAnsi="Times New Roman" w:cs="Times New Roman"/>
          <w:sz w:val="24"/>
        </w:rPr>
        <w:t>低）等。</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油品泄漏：卸油连接及加油枪连接的软管损坏漏油，或快装接头不严密漏油或管线阀门等连接部位泄漏。油罐出现裂缝发生泄露。</w:t>
      </w:r>
    </w:p>
    <w:p>
      <w:pPr>
        <w:adjustRightInd w:val="0"/>
        <w:snapToGrid w:val="0"/>
        <w:spacing w:line="500" w:lineRule="exact"/>
        <w:ind w:firstLine="480" w:firstLineChars="200"/>
        <w:rPr>
          <w:rFonts w:ascii="Times New Roman" w:hAnsi="Times New Roman" w:cs="Times New Roman"/>
          <w:sz w:val="24"/>
        </w:rPr>
      </w:pPr>
      <w:r>
        <w:rPr>
          <w:rFonts w:ascii="Times New Roman" w:hAnsi="Times New Roman" w:cs="Times New Roman"/>
          <w:sz w:val="24"/>
        </w:rPr>
        <w:fldChar w:fldCharType="begin"/>
      </w:r>
      <w:r>
        <w:rPr>
          <w:rFonts w:hint="eastAsia" w:ascii="Times New Roman" w:hAnsi="Times New Roman" w:cs="Times New Roman"/>
          <w:sz w:val="24"/>
        </w:rPr>
        <w:instrText xml:space="preserve">= 2 \* GB3</w:instrText>
      </w:r>
      <w:r>
        <w:rPr>
          <w:rFonts w:ascii="Times New Roman" w:hAnsi="Times New Roman" w:cs="Times New Roman"/>
          <w:sz w:val="24"/>
        </w:rPr>
        <w:fldChar w:fldCharType="separate"/>
      </w:r>
      <w:r>
        <w:rPr>
          <w:rFonts w:hint="eastAsia" w:ascii="Times New Roman" w:hAnsi="Times New Roman" w:cs="Times New Roman"/>
          <w:sz w:val="24"/>
        </w:rPr>
        <w:t>②</w:t>
      </w:r>
      <w:r>
        <w:rPr>
          <w:rFonts w:ascii="Times New Roman" w:hAnsi="Times New Roman" w:cs="Times New Roman"/>
          <w:sz w:val="24"/>
        </w:rPr>
        <w:fldChar w:fldCharType="end"/>
      </w:r>
      <w:r>
        <w:rPr>
          <w:rFonts w:hint="eastAsia" w:ascii="Times New Roman" w:hAnsi="Times New Roman" w:cs="Times New Roman"/>
          <w:sz w:val="24"/>
        </w:rPr>
        <w:t xml:space="preserve"> 火灾、爆炸事故引发的伴生/次生污染物排放</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汽油、柴油均属易燃、易爆液体，如果在储存、输送过程发生跑、冒、滴、漏，卸油过程中如果静电接地不好或管线、接头等有渗漏，加油过程加油设备及管线出现故障或加油过程操作不当等引起油料泄漏；油料蒸发出来的可燃气体在一定的浓度范围内，能够与空气形成爆炸性混合物，遇明火、静电及高温或与氧化剂接触等易引起燃烧或爆炸；同时其蒸汽比空气重，能在较低处扩散到相当远的地方，遇明火会引着回燃，也会造成火灾爆炸事故。</w:t>
      </w:r>
    </w:p>
    <w:p>
      <w:pPr>
        <w:adjustRightInd w:val="0"/>
        <w:snapToGrid w:val="0"/>
        <w:spacing w:line="500" w:lineRule="exact"/>
        <w:ind w:firstLine="480" w:firstLineChars="200"/>
        <w:rPr>
          <w:rFonts w:ascii="Times New Roman" w:hAnsi="Times New Roman" w:cs="Times New Roman"/>
          <w:sz w:val="24"/>
        </w:rPr>
      </w:pPr>
      <w:r>
        <w:rPr>
          <w:rFonts w:ascii="Times New Roman" w:hAnsi="Times New Roman" w:cs="Times New Roman"/>
          <w:sz w:val="24"/>
        </w:rPr>
        <w:fldChar w:fldCharType="begin"/>
      </w:r>
      <w:r>
        <w:rPr>
          <w:rFonts w:hint="eastAsia" w:ascii="Times New Roman" w:hAnsi="Times New Roman" w:cs="Times New Roman"/>
          <w:sz w:val="24"/>
        </w:rPr>
        <w:instrText xml:space="preserve">= 3 \* GB3</w:instrText>
      </w:r>
      <w:r>
        <w:rPr>
          <w:rFonts w:ascii="Times New Roman" w:hAnsi="Times New Roman" w:cs="Times New Roman"/>
          <w:sz w:val="24"/>
        </w:rPr>
        <w:fldChar w:fldCharType="separate"/>
      </w:r>
      <w:r>
        <w:rPr>
          <w:rFonts w:hint="eastAsia" w:ascii="Times New Roman" w:hAnsi="Times New Roman" w:cs="Times New Roman"/>
          <w:sz w:val="24"/>
        </w:rPr>
        <w:t>③</w:t>
      </w:r>
      <w:r>
        <w:rPr>
          <w:rFonts w:ascii="Times New Roman" w:hAnsi="Times New Roman" w:cs="Times New Roman"/>
          <w:sz w:val="24"/>
        </w:rPr>
        <w:fldChar w:fldCharType="end"/>
      </w:r>
      <w:r>
        <w:rPr>
          <w:rFonts w:hint="eastAsia" w:ascii="Times New Roman" w:hAnsi="Times New Roman" w:cs="Times New Roman"/>
          <w:sz w:val="24"/>
        </w:rPr>
        <w:t>风险事故可能影响环境的途径</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危险物质泄露可能影响的环境要素主要为地下水环境。本项目埋地油罐、输送管道、加油机、弯曲连接、阀门等处破裂，均有可能导致泄漏事故。油品泄漏后经过土壤包气带渗漏至潜水含水层，污染影响地下水环境。</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火灾、爆炸风险事故会引发的伴生/次生的污染物排放，污染物主要包括二氧</w:t>
      </w:r>
    </w:p>
    <w:p>
      <w:pPr>
        <w:adjustRightInd w:val="0"/>
        <w:snapToGrid w:val="0"/>
        <w:spacing w:line="500" w:lineRule="exact"/>
        <w:rPr>
          <w:rFonts w:ascii="Times New Roman" w:hAnsi="Times New Roman" w:cs="Times New Roman"/>
          <w:sz w:val="24"/>
        </w:rPr>
      </w:pPr>
      <w:r>
        <w:rPr>
          <w:rFonts w:hint="eastAsia" w:ascii="Times New Roman" w:hAnsi="Times New Roman" w:cs="Times New Roman"/>
          <w:sz w:val="24"/>
        </w:rPr>
        <w:t>化硫、一氧化碳等，伴生/次生的污染物扩散至环境空气中，对环境空气质量产生</w:t>
      </w:r>
    </w:p>
    <w:p>
      <w:pPr>
        <w:adjustRightInd w:val="0"/>
        <w:snapToGrid w:val="0"/>
        <w:spacing w:line="500" w:lineRule="exact"/>
        <w:rPr>
          <w:rFonts w:ascii="Times New Roman" w:hAnsi="Times New Roman" w:cs="Times New Roman"/>
          <w:sz w:val="24"/>
        </w:rPr>
      </w:pPr>
      <w:r>
        <w:rPr>
          <w:rFonts w:hint="eastAsia" w:ascii="Times New Roman" w:hAnsi="Times New Roman" w:cs="Times New Roman"/>
          <w:sz w:val="24"/>
        </w:rPr>
        <w:t>不利影响。</w:t>
      </w:r>
    </w:p>
    <w:p>
      <w:pPr>
        <w:adjustRightInd w:val="0"/>
        <w:snapToGrid w:val="0"/>
        <w:spacing w:line="500" w:lineRule="exact"/>
        <w:rPr>
          <w:rFonts w:ascii="Times New Roman" w:hAnsi="Times New Roman" w:cs="Times New Roman"/>
          <w:b/>
          <w:bCs/>
          <w:sz w:val="24"/>
        </w:rPr>
      </w:pPr>
      <w:r>
        <w:rPr>
          <w:rFonts w:hint="eastAsia" w:ascii="Times New Roman" w:hAnsi="Times New Roman" w:cs="Times New Roman"/>
          <w:b/>
          <w:bCs/>
          <w:sz w:val="24"/>
        </w:rPr>
        <w:t>2.4</w:t>
      </w:r>
      <w:r>
        <w:rPr>
          <w:rFonts w:ascii="Times New Roman" w:hAnsi="Times New Roman" w:cs="Times New Roman"/>
          <w:b/>
          <w:bCs/>
          <w:sz w:val="24"/>
        </w:rPr>
        <w:t>、</w:t>
      </w:r>
      <w:r>
        <w:rPr>
          <w:rFonts w:hint="eastAsia" w:ascii="Times New Roman" w:hAnsi="Times New Roman" w:cs="Times New Roman"/>
          <w:b/>
          <w:bCs/>
          <w:sz w:val="24"/>
        </w:rPr>
        <w:t>环境风险分析</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①卸油过程环境风险分析</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油罐车卸油时易发生泄漏、火灾事故，加油站泄漏、火灾事故的 60%-70%发生在卸油过程中。可能发生的事故为：</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A.油罐漫溢:卸油时对液位监测不及时易造成油品跑冒，油品溢出罐后，周围空气中油蒸汽的浓度迅速上升，达到或超过爆炸极限，遇到火星随即发生燃烧爆炸。</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B.油品滴漏:由于卸油胶管破裂、密封垫破损、快速接头紧固栓松动等，使油品滴漏至地面，遇火花会立即燃烧。</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C.静电起火:因油管无静电接地、卸油中油罐车无静电接地等原因造成静电集聚放电，点燃油蒸汽。</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D.遇明火起火。</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E.量油时发生火灾:油罐车送油到加油站后应静置稳油，待静电消除后方可开盖量油，若车到后立即开盖量油，就会引起静电起火；若未油罐安装量油孔或量油孔镶槽脱落，在储油罐量油时，量油尺与钢制管口摩擦产生火花，就会点燃罐内油蒸汽，引起爆炸燃烧。</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②加油过程环境风险分析</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加油机给汽车加油时，易发生泄漏、火灾事故。可能发生的事故为：</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A.加油作业超装外溢。加油机故障及加油量估计错误（如汽车油箱油量指示偏低）等，导致汽车油箱满后油品外溢，遇到火星会发生燃烧。</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B.油品泄漏：加油枪连接的软管损坏漏油或管线阀门等连接部位泄漏，泄漏油品遇到火星会发生燃烧。</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C.违章作业发生火灾爆炸。违章用油枪向塑料容器加油，汽油在塑料容器内流动摩擦产生静电聚集，当静电压和桶内的油蒸汽达到一定值时，就会引发爆炸。</w:t>
      </w:r>
    </w:p>
    <w:p>
      <w:pPr>
        <w:adjustRightInd w:val="0"/>
        <w:snapToGrid w:val="0"/>
        <w:spacing w:line="500" w:lineRule="exact"/>
        <w:ind w:firstLine="600" w:firstLineChars="250"/>
        <w:rPr>
          <w:rFonts w:ascii="Times New Roman" w:hAnsi="Times New Roman" w:cs="Times New Roman"/>
          <w:sz w:val="24"/>
        </w:rPr>
      </w:pPr>
      <w:r>
        <w:rPr>
          <w:rFonts w:hint="eastAsia" w:ascii="Times New Roman" w:hAnsi="Times New Roman" w:cs="Times New Roman"/>
          <w:sz w:val="24"/>
        </w:rPr>
        <w:t>本项目地下水环境风险评价工作内容可参照报告中地下水环境影响预测与评价内容。储油罐和输油管线的泄漏或渗漏对地下水的污染较为严重，地下水一旦遭到成品油的污染，将使地下水产生严重异味，并具有较强的致畸致癌性，根本无法饮用。又由于这种渗漏必然穿过较厚的土壤层，使土壤层中吸附了大量的燃料油土壤层吸附的燃料油不仅会造成植物的死亡，而且土壤层吸附的燃料油还会随着地表水的下渗对土壤层的冲刷作用补充到地下水，这样即便污染源得到及时控制，地下水要完全恢复也需几十年甚至上百年的时间。本项目采用玻璃钢防渗技术，储油罐周围修建防油堤，对储罐内外表面、防油堤的内表面、油罐区地面、输线管线表面做“六胶两布”防水防腐处理，因此对地下水不会造成影响。</w:t>
      </w:r>
    </w:p>
    <w:p>
      <w:pPr>
        <w:adjustRightInd w:val="0"/>
        <w:snapToGrid w:val="0"/>
        <w:spacing w:line="500" w:lineRule="exact"/>
        <w:ind w:firstLine="600" w:firstLineChars="250"/>
        <w:rPr>
          <w:rFonts w:ascii="Times New Roman" w:hAnsi="Times New Roman" w:cs="Times New Roman"/>
          <w:sz w:val="24"/>
        </w:rPr>
      </w:pPr>
      <w:r>
        <w:rPr>
          <w:rFonts w:hint="eastAsia" w:ascii="Times New Roman" w:hAnsi="Times New Roman" w:cs="Times New Roman"/>
          <w:sz w:val="24"/>
        </w:rPr>
        <w:t>本项目火灾、爆炸事故对大气环境的危害后果主要包括伴生/次生的污染物（二氧化硫、一氧化碳等）扩散至环境空气中，对环境空气质量产生不利影响。</w:t>
      </w:r>
    </w:p>
    <w:bookmarkEnd w:id="5"/>
    <w:p>
      <w:pPr>
        <w:adjustRightInd w:val="0"/>
        <w:snapToGrid w:val="0"/>
        <w:spacing w:line="600" w:lineRule="exact"/>
        <w:rPr>
          <w:rFonts w:ascii="Times New Roman" w:hAnsi="Times New Roman" w:cs="Times New Roman"/>
          <w:b/>
          <w:sz w:val="28"/>
          <w:szCs w:val="28"/>
        </w:rPr>
      </w:pPr>
      <w:r>
        <w:rPr>
          <w:rFonts w:hint="eastAsia" w:ascii="Times New Roman" w:hAnsi="Times New Roman" w:cs="Times New Roman"/>
          <w:b/>
          <w:bCs/>
          <w:sz w:val="24"/>
        </w:rPr>
        <w:t>2.5</w:t>
      </w:r>
      <w:r>
        <w:rPr>
          <w:rFonts w:ascii="Times New Roman" w:hAnsi="Times New Roman" w:cs="Times New Roman"/>
          <w:b/>
          <w:bCs/>
          <w:sz w:val="24"/>
        </w:rPr>
        <w:t>、</w:t>
      </w:r>
      <w:r>
        <w:rPr>
          <w:rFonts w:hint="eastAsia" w:ascii="Times New Roman" w:hAnsi="Times New Roman" w:cs="Times New Roman"/>
          <w:b/>
          <w:bCs/>
          <w:sz w:val="24"/>
        </w:rPr>
        <w:t>环境风险防范措施及应急要求</w:t>
      </w:r>
    </w:p>
    <w:p>
      <w:pPr>
        <w:adjustRightInd w:val="0"/>
        <w:snapToGrid w:val="0"/>
        <w:spacing w:line="500" w:lineRule="exact"/>
        <w:ind w:firstLine="480" w:firstLineChars="200"/>
        <w:rPr>
          <w:rFonts w:ascii="Times New Roman" w:hAnsi="Times New Roman" w:cs="Times New Roman"/>
          <w:bCs/>
          <w:sz w:val="24"/>
        </w:rPr>
      </w:pPr>
      <w:bookmarkStart w:id="6" w:name="_Toc187206035"/>
      <w:bookmarkStart w:id="7" w:name="_Toc212527144"/>
      <w:r>
        <w:rPr>
          <w:rFonts w:hint="eastAsia" w:ascii="Times New Roman" w:hAnsi="Times New Roman" w:cs="Times New Roman"/>
          <w:bCs/>
          <w:sz w:val="24"/>
        </w:rPr>
        <w:t>①环境风险防范措施</w:t>
      </w:r>
    </w:p>
    <w:p>
      <w:pPr>
        <w:adjustRightInd w:val="0"/>
        <w:snapToGrid w:val="0"/>
        <w:spacing w:line="500" w:lineRule="exact"/>
        <w:ind w:firstLine="480" w:firstLineChars="200"/>
        <w:rPr>
          <w:rFonts w:ascii="Times New Roman" w:hAnsi="Times New Roman" w:cs="Times New Roman"/>
          <w:bCs/>
          <w:sz w:val="24"/>
        </w:rPr>
      </w:pPr>
      <w:r>
        <w:rPr>
          <w:rFonts w:hint="eastAsia" w:ascii="Times New Roman" w:hAnsi="Times New Roman" w:cs="Times New Roman"/>
          <w:bCs/>
          <w:sz w:val="24"/>
        </w:rPr>
        <w:t>为保证安全生产，减少事故的发生，并降低事故对环境的影响，建设单位根据有关法规及管理要求，建立了系统完善的事故风险防范</w:t>
      </w:r>
      <w:r>
        <w:rPr>
          <w:rFonts w:hint="eastAsia" w:ascii="Times New Roman" w:hAnsi="Times New Roman" w:cs="Times New Roman"/>
          <w:bCs/>
          <w:sz w:val="24"/>
          <w:lang w:eastAsia="zh-CN"/>
        </w:rPr>
        <w:t>防控</w:t>
      </w:r>
      <w:r>
        <w:rPr>
          <w:rFonts w:hint="eastAsia" w:ascii="Times New Roman" w:hAnsi="Times New Roman" w:cs="Times New Roman"/>
          <w:bCs/>
          <w:sz w:val="24"/>
        </w:rPr>
        <w:t>措施的计划和实施。</w:t>
      </w:r>
    </w:p>
    <w:p>
      <w:pPr>
        <w:adjustRightInd w:val="0"/>
        <w:snapToGrid w:val="0"/>
        <w:spacing w:line="500" w:lineRule="exact"/>
        <w:ind w:left="567"/>
        <w:rPr>
          <w:rFonts w:ascii="Times New Roman" w:hAnsi="Times New Roman" w:cs="Times New Roman"/>
          <w:bCs/>
          <w:sz w:val="24"/>
        </w:rPr>
      </w:pPr>
      <w:r>
        <w:rPr>
          <w:rFonts w:hint="eastAsia" w:ascii="Times New Roman" w:hAnsi="Times New Roman" w:cs="Times New Roman"/>
          <w:bCs/>
          <w:sz w:val="24"/>
        </w:rPr>
        <w:t>在项目建设过程中采取的事故防范</w:t>
      </w:r>
      <w:r>
        <w:rPr>
          <w:rFonts w:hint="eastAsia" w:ascii="Times New Roman" w:hAnsi="Times New Roman" w:cs="Times New Roman"/>
          <w:bCs/>
          <w:sz w:val="24"/>
          <w:lang w:eastAsia="zh-CN"/>
        </w:rPr>
        <w:t>防控</w:t>
      </w:r>
      <w:r>
        <w:rPr>
          <w:rFonts w:hint="eastAsia" w:ascii="Times New Roman" w:hAnsi="Times New Roman" w:cs="Times New Roman"/>
          <w:bCs/>
          <w:sz w:val="24"/>
        </w:rPr>
        <w:t>措施具体如下：</w:t>
      </w:r>
    </w:p>
    <w:p>
      <w:pPr>
        <w:adjustRightInd w:val="0"/>
        <w:snapToGrid w:val="0"/>
        <w:spacing w:line="500" w:lineRule="exact"/>
        <w:ind w:left="567"/>
        <w:rPr>
          <w:rFonts w:ascii="Times New Roman" w:hAnsi="Times New Roman" w:cs="Times New Roman"/>
          <w:b/>
          <w:bCs w:val="0"/>
          <w:color w:val="000000"/>
          <w:szCs w:val="21"/>
          <w:u w:val="none"/>
        </w:rPr>
      </w:pPr>
      <w:r>
        <w:rPr>
          <w:rFonts w:hint="eastAsia" w:ascii="Times New Roman" w:hAnsi="Times New Roman" w:cs="Times New Roman"/>
          <w:b/>
          <w:bCs w:val="0"/>
          <w:color w:val="000000"/>
          <w:szCs w:val="21"/>
          <w:u w:val="none"/>
        </w:rPr>
        <w:t>表7                  风险防范</w:t>
      </w:r>
      <w:r>
        <w:rPr>
          <w:rFonts w:hint="eastAsia" w:ascii="Times New Roman" w:hAnsi="Times New Roman" w:cs="Times New Roman"/>
          <w:b/>
          <w:bCs w:val="0"/>
          <w:color w:val="000000"/>
          <w:szCs w:val="21"/>
          <w:u w:val="none"/>
          <w:lang w:eastAsia="zh-CN"/>
        </w:rPr>
        <w:t>防控</w:t>
      </w:r>
      <w:r>
        <w:rPr>
          <w:rFonts w:hint="eastAsia" w:ascii="Times New Roman" w:hAnsi="Times New Roman" w:cs="Times New Roman"/>
          <w:b/>
          <w:bCs w:val="0"/>
          <w:color w:val="000000"/>
          <w:szCs w:val="21"/>
          <w:u w:val="none"/>
        </w:rPr>
        <w:t>措施</w:t>
      </w:r>
    </w:p>
    <w:tbl>
      <w:tblPr>
        <w:tblStyle w:val="11"/>
        <w:tblW w:w="856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85" w:type="dxa"/>
          <w:left w:w="57" w:type="dxa"/>
          <w:bottom w:w="85" w:type="dxa"/>
          <w:right w:w="57" w:type="dxa"/>
        </w:tblCellMar>
      </w:tblPr>
      <w:tblGrid>
        <w:gridCol w:w="782"/>
        <w:gridCol w:w="1402"/>
        <w:gridCol w:w="637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782" w:type="dxa"/>
            <w:tcMar>
              <w:top w:w="6" w:type="dxa"/>
              <w:bottom w:w="6" w:type="dxa"/>
            </w:tcMar>
            <w:vAlign w:val="center"/>
          </w:tcPr>
          <w:p>
            <w:pPr>
              <w:adjustRightInd w:val="0"/>
              <w:snapToGrid w:val="0"/>
              <w:jc w:val="center"/>
              <w:rPr>
                <w:rFonts w:ascii="Times New Roman" w:hAnsi="Times New Roman" w:cs="Times New Roman"/>
                <w:b/>
                <w:bCs w:val="0"/>
                <w:color w:val="000000"/>
                <w:u w:val="none"/>
              </w:rPr>
            </w:pPr>
            <w:r>
              <w:rPr>
                <w:rFonts w:ascii="Times New Roman" w:hAnsi="Times New Roman" w:cs="Times New Roman"/>
                <w:b/>
                <w:bCs w:val="0"/>
                <w:color w:val="000000"/>
                <w:u w:val="none"/>
              </w:rPr>
              <w:t>序号</w:t>
            </w:r>
          </w:p>
        </w:tc>
        <w:tc>
          <w:tcPr>
            <w:tcW w:w="1402" w:type="dxa"/>
            <w:tcMar>
              <w:top w:w="6" w:type="dxa"/>
              <w:bottom w:w="6" w:type="dxa"/>
            </w:tcMar>
            <w:vAlign w:val="center"/>
          </w:tcPr>
          <w:p>
            <w:pPr>
              <w:adjustRightInd w:val="0"/>
              <w:snapToGrid w:val="0"/>
              <w:jc w:val="center"/>
              <w:rPr>
                <w:rFonts w:ascii="Times New Roman" w:hAnsi="Times New Roman" w:cs="Times New Roman"/>
                <w:b/>
                <w:bCs w:val="0"/>
                <w:color w:val="000000"/>
                <w:u w:val="none"/>
              </w:rPr>
            </w:pPr>
            <w:r>
              <w:rPr>
                <w:rFonts w:hint="eastAsia" w:ascii="Times New Roman" w:hAnsi="Times New Roman" w:cs="Times New Roman"/>
                <w:b/>
                <w:bCs w:val="0"/>
                <w:color w:val="000000"/>
                <w:u w:val="none"/>
              </w:rPr>
              <w:t>类别</w:t>
            </w:r>
          </w:p>
        </w:tc>
        <w:tc>
          <w:tcPr>
            <w:tcW w:w="6376" w:type="dxa"/>
            <w:tcMar>
              <w:top w:w="6" w:type="dxa"/>
              <w:bottom w:w="6" w:type="dxa"/>
            </w:tcMar>
            <w:vAlign w:val="center"/>
          </w:tcPr>
          <w:p>
            <w:pPr>
              <w:adjustRightInd w:val="0"/>
              <w:snapToGrid w:val="0"/>
              <w:jc w:val="center"/>
              <w:rPr>
                <w:rFonts w:ascii="Times New Roman" w:hAnsi="Times New Roman" w:cs="Times New Roman"/>
                <w:b/>
                <w:bCs w:val="0"/>
                <w:color w:val="000000"/>
                <w:u w:val="none"/>
              </w:rPr>
            </w:pPr>
            <w:r>
              <w:rPr>
                <w:rFonts w:hint="eastAsia" w:ascii="Times New Roman" w:hAnsi="Times New Roman" w:cs="Times New Roman"/>
                <w:b/>
                <w:bCs w:val="0"/>
                <w:color w:val="000000"/>
                <w:u w:val="none"/>
              </w:rPr>
              <w:t>风险防范</w:t>
            </w:r>
            <w:r>
              <w:rPr>
                <w:rFonts w:hint="eastAsia" w:ascii="Times New Roman" w:hAnsi="Times New Roman" w:cs="Times New Roman"/>
                <w:b/>
                <w:bCs w:val="0"/>
                <w:color w:val="000000"/>
                <w:u w:val="none"/>
                <w:lang w:eastAsia="zh-CN"/>
              </w:rPr>
              <w:t>防控</w:t>
            </w:r>
            <w:r>
              <w:rPr>
                <w:rFonts w:hint="eastAsia" w:ascii="Times New Roman" w:hAnsi="Times New Roman" w:cs="Times New Roman"/>
                <w:b/>
                <w:bCs w:val="0"/>
                <w:color w:val="000000"/>
                <w:u w:val="none"/>
              </w:rPr>
              <w:t>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782" w:type="dxa"/>
            <w:tcMar>
              <w:top w:w="6" w:type="dxa"/>
              <w:bottom w:w="6" w:type="dxa"/>
            </w:tcMar>
            <w:vAlign w:val="center"/>
          </w:tcPr>
          <w:p>
            <w:pPr>
              <w:adjustRightInd w:val="0"/>
              <w:snapToGrid w:val="0"/>
              <w:jc w:val="center"/>
              <w:rPr>
                <w:rFonts w:ascii="Times New Roman" w:hAnsi="Times New Roman" w:cs="Times New Roman"/>
                <w:b w:val="0"/>
                <w:bCs/>
                <w:color w:val="000000"/>
                <w:u w:val="none"/>
              </w:rPr>
            </w:pPr>
            <w:r>
              <w:rPr>
                <w:rFonts w:ascii="Times New Roman" w:hAnsi="Times New Roman" w:cs="Times New Roman"/>
                <w:b w:val="0"/>
                <w:bCs/>
                <w:color w:val="000000"/>
                <w:u w:val="none"/>
              </w:rPr>
              <w:t>1</w:t>
            </w:r>
          </w:p>
        </w:tc>
        <w:tc>
          <w:tcPr>
            <w:tcW w:w="1402" w:type="dxa"/>
            <w:tcMar>
              <w:top w:w="6" w:type="dxa"/>
              <w:bottom w:w="6" w:type="dxa"/>
            </w:tcMar>
            <w:vAlign w:val="center"/>
          </w:tcPr>
          <w:p>
            <w:pPr>
              <w:adjustRightInd w:val="0"/>
              <w:snapToGrid w:val="0"/>
              <w:jc w:val="center"/>
              <w:rPr>
                <w:rFonts w:ascii="Times New Roman" w:hAnsi="Times New Roman" w:cs="Times New Roman"/>
                <w:b w:val="0"/>
                <w:bCs/>
                <w:color w:val="000000"/>
                <w:u w:val="none"/>
              </w:rPr>
            </w:pPr>
            <w:r>
              <w:rPr>
                <w:rFonts w:hint="eastAsia" w:ascii="Times New Roman" w:hAnsi="Times New Roman" w:cs="Times New Roman"/>
                <w:b w:val="0"/>
                <w:bCs/>
                <w:color w:val="000000"/>
                <w:u w:val="none"/>
              </w:rPr>
              <w:t>大气环境</w:t>
            </w:r>
          </w:p>
        </w:tc>
        <w:tc>
          <w:tcPr>
            <w:tcW w:w="6376" w:type="dxa"/>
            <w:tcMar>
              <w:top w:w="6" w:type="dxa"/>
              <w:bottom w:w="6" w:type="dxa"/>
            </w:tcMar>
            <w:vAlign w:val="center"/>
          </w:tcPr>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①卸油口旁设有卸油操作流程以及禁止烟火等安全提示标识。</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②油罐</w:t>
            </w:r>
            <w:r>
              <w:rPr>
                <w:rFonts w:hint="eastAsia" w:ascii="Times New Roman" w:hAnsi="Times New Roman" w:cs="Times New Roman"/>
                <w:b w:val="0"/>
                <w:bCs/>
                <w:color w:val="000000"/>
                <w:szCs w:val="21"/>
                <w:u w:val="none"/>
                <w:lang w:eastAsia="zh-CN"/>
              </w:rPr>
              <w:t>配套</w:t>
            </w:r>
            <w:r>
              <w:rPr>
                <w:rFonts w:hint="eastAsia" w:ascii="Times New Roman" w:hAnsi="Times New Roman" w:cs="Times New Roman"/>
                <w:b w:val="0"/>
                <w:bCs/>
                <w:color w:val="000000"/>
                <w:szCs w:val="21"/>
                <w:u w:val="none"/>
              </w:rPr>
              <w:t>设置液位仪，具有高液位报警功能；设置加油站管理系统；并设置卸油防溢阀，当卸油液位达到油罐容积的90%时，卸油防溢阀自动关闭，停止进油。</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③汽油罐与柴油罐的通气管分开设置，通气管高出地面高度不小于4m。通气管端部设有防雨型阻火器，能够在发生火灾时阻止火焰经通气管进入油罐。</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④油罐采用卧式双层复合罐埋地设置，采用平衡式密闭油气回收系</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统，且油储车卸油采用密闭卸油方式，卸油口设置快速接头及密封盖，设有明显标识，卸油口设有消除静电装置。</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⑤站内设有紧急切断系统，可在事故状态下迅速切断加油泵。</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⑥贴有安全事故告知标识、区域安全提示牌、“禁止烟火”、“职业病危害告知”等制度及标识。</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⑦</w:t>
            </w:r>
            <w:r>
              <w:rPr>
                <w:rFonts w:hint="eastAsia" w:ascii="Times New Roman" w:hAnsi="Times New Roman" w:cs="Times New Roman"/>
                <w:b w:val="0"/>
                <w:bCs/>
                <w:color w:val="000000"/>
                <w:szCs w:val="21"/>
                <w:u w:val="none"/>
                <w:lang w:eastAsia="zh-CN"/>
              </w:rPr>
              <w:t>站区</w:t>
            </w:r>
            <w:r>
              <w:rPr>
                <w:rFonts w:hint="eastAsia" w:ascii="Times New Roman" w:hAnsi="Times New Roman" w:cs="Times New Roman"/>
                <w:b w:val="0"/>
                <w:bCs/>
                <w:color w:val="000000"/>
                <w:szCs w:val="21"/>
                <w:u w:val="none"/>
              </w:rPr>
              <w:t>备有灭火器、消防沙等应急物资。</w:t>
            </w:r>
          </w:p>
          <w:p>
            <w:pPr>
              <w:adjustRightInd w:val="0"/>
              <w:snapToGrid w:val="0"/>
              <w:jc w:val="left"/>
              <w:rPr>
                <w:rFonts w:ascii="Times New Roman" w:hAnsi="Times New Roman" w:cs="Times New Roman"/>
                <w:b w:val="0"/>
                <w:bCs/>
                <w:color w:val="000000"/>
                <w:szCs w:val="21"/>
                <w:u w:val="none"/>
              </w:rPr>
            </w:pPr>
            <w:r>
              <w:rPr>
                <w:rFonts w:hint="eastAsia" w:ascii="Times New Roman" w:hAnsi="Times New Roman" w:cs="Times New Roman"/>
                <w:b w:val="0"/>
                <w:bCs/>
                <w:color w:val="000000"/>
                <w:szCs w:val="21"/>
                <w:u w:val="none"/>
              </w:rPr>
              <w:t>⑧储运设施、设备、管道、站房等均做静电接地设施。</w:t>
            </w:r>
          </w:p>
          <w:p>
            <w:pPr>
              <w:adjustRightInd w:val="0"/>
              <w:snapToGrid w:val="0"/>
              <w:rPr>
                <w:rFonts w:ascii="Times New Roman" w:hAnsi="Times New Roman" w:cs="Times New Roman"/>
                <w:b w:val="0"/>
                <w:bCs/>
                <w:color w:val="000000"/>
                <w:u w:val="none"/>
              </w:rPr>
            </w:pPr>
            <w:r>
              <w:rPr>
                <w:rFonts w:hint="eastAsia" w:ascii="Times New Roman" w:hAnsi="Times New Roman" w:cs="Times New Roman"/>
                <w:b w:val="0"/>
                <w:bCs/>
                <w:color w:val="000000"/>
                <w:szCs w:val="21"/>
                <w:u w:val="none"/>
              </w:rPr>
              <w:t>⑨设置事故状态下人员的疏散通道，并进行张贴。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782" w:type="dxa"/>
            <w:tcMar>
              <w:top w:w="6" w:type="dxa"/>
              <w:bottom w:w="6" w:type="dxa"/>
            </w:tcMar>
            <w:vAlign w:val="center"/>
          </w:tcPr>
          <w:p>
            <w:pPr>
              <w:adjustRightInd w:val="0"/>
              <w:snapToGrid w:val="0"/>
              <w:jc w:val="center"/>
              <w:rPr>
                <w:rFonts w:ascii="Times New Roman" w:hAnsi="Times New Roman" w:cs="Times New Roman"/>
                <w:b w:val="0"/>
                <w:bCs/>
                <w:color w:val="000000"/>
                <w:u w:val="none"/>
              </w:rPr>
            </w:pPr>
            <w:r>
              <w:rPr>
                <w:rFonts w:ascii="Times New Roman" w:hAnsi="Times New Roman" w:cs="Times New Roman"/>
                <w:b w:val="0"/>
                <w:bCs/>
                <w:color w:val="000000"/>
                <w:u w:val="none"/>
              </w:rPr>
              <w:t>2</w:t>
            </w:r>
          </w:p>
        </w:tc>
        <w:tc>
          <w:tcPr>
            <w:tcW w:w="1402" w:type="dxa"/>
            <w:tcMar>
              <w:top w:w="6" w:type="dxa"/>
              <w:bottom w:w="6" w:type="dxa"/>
            </w:tcMar>
            <w:vAlign w:val="center"/>
          </w:tcPr>
          <w:p>
            <w:pPr>
              <w:adjustRightInd w:val="0"/>
              <w:snapToGrid w:val="0"/>
              <w:jc w:val="center"/>
              <w:rPr>
                <w:rFonts w:ascii="Times New Roman" w:hAnsi="Times New Roman" w:cs="Times New Roman"/>
                <w:b w:val="0"/>
                <w:bCs/>
                <w:color w:val="000000"/>
                <w:u w:val="none"/>
              </w:rPr>
            </w:pPr>
            <w:r>
              <w:rPr>
                <w:rFonts w:hint="eastAsia" w:ascii="Times New Roman" w:hAnsi="Times New Roman" w:cs="Times New Roman"/>
                <w:b w:val="0"/>
                <w:bCs/>
                <w:color w:val="000000"/>
                <w:u w:val="none"/>
              </w:rPr>
              <w:t>地下水环境</w:t>
            </w:r>
          </w:p>
        </w:tc>
        <w:tc>
          <w:tcPr>
            <w:tcW w:w="6376" w:type="dxa"/>
            <w:tcMar>
              <w:top w:w="6" w:type="dxa"/>
              <w:bottom w:w="6" w:type="dxa"/>
            </w:tcMar>
            <w:vAlign w:val="center"/>
          </w:tcPr>
          <w:p>
            <w:pPr>
              <w:adjustRightInd w:val="0"/>
              <w:snapToGrid w:val="0"/>
              <w:jc w:val="left"/>
              <w:rPr>
                <w:rFonts w:ascii="Times New Roman" w:hAnsi="Times New Roman" w:cs="Times New Roman"/>
                <w:b w:val="0"/>
                <w:bCs/>
                <w:color w:val="000000"/>
                <w:u w:val="none"/>
              </w:rPr>
            </w:pPr>
            <w:r>
              <w:rPr>
                <w:rFonts w:hint="eastAsia" w:ascii="Times New Roman" w:hAnsi="Times New Roman" w:cs="Times New Roman"/>
                <w:b w:val="0"/>
                <w:bCs/>
                <w:color w:val="000000"/>
                <w:u w:val="none"/>
              </w:rPr>
              <w:t>①油罐型式为双层卧式防渗油罐</w:t>
            </w:r>
            <w:r>
              <w:rPr>
                <w:rFonts w:hint="eastAsia" w:ascii="Times New Roman" w:hAnsi="Times New Roman" w:cs="Times New Roman"/>
                <w:b w:val="0"/>
                <w:bCs/>
                <w:color w:val="000000"/>
                <w:u w:val="none"/>
                <w:lang w:eastAsia="zh-CN"/>
              </w:rPr>
              <w:t>，安装防渗漏自动检测设施</w:t>
            </w:r>
            <w:r>
              <w:rPr>
                <w:rFonts w:hint="eastAsia" w:ascii="Times New Roman" w:hAnsi="Times New Roman" w:cs="Times New Roman"/>
                <w:b w:val="0"/>
                <w:bCs/>
                <w:color w:val="000000"/>
                <w:u w:val="none"/>
              </w:rPr>
              <w:t>。</w:t>
            </w:r>
          </w:p>
          <w:p>
            <w:pPr>
              <w:adjustRightInd w:val="0"/>
              <w:snapToGrid w:val="0"/>
              <w:jc w:val="left"/>
              <w:rPr>
                <w:rFonts w:ascii="Times New Roman" w:hAnsi="Times New Roman" w:cs="Times New Roman"/>
                <w:b w:val="0"/>
                <w:bCs/>
                <w:color w:val="000000"/>
                <w:u w:val="none"/>
              </w:rPr>
            </w:pPr>
            <w:r>
              <w:rPr>
                <w:rFonts w:hint="eastAsia" w:ascii="Times New Roman" w:hAnsi="Times New Roman" w:cs="Times New Roman"/>
                <w:b w:val="0"/>
                <w:bCs/>
                <w:color w:val="000000"/>
                <w:u w:val="none"/>
              </w:rPr>
              <w:t>②采取分区防渗措施。</w:t>
            </w:r>
          </w:p>
          <w:p>
            <w:pPr>
              <w:adjustRightInd w:val="0"/>
              <w:snapToGrid w:val="0"/>
              <w:jc w:val="left"/>
              <w:rPr>
                <w:rFonts w:ascii="Times New Roman" w:hAnsi="Times New Roman" w:cs="Times New Roman"/>
                <w:b w:val="0"/>
                <w:bCs/>
                <w:color w:val="000000"/>
                <w:u w:val="none"/>
              </w:rPr>
            </w:pPr>
            <w:r>
              <w:rPr>
                <w:rFonts w:hint="eastAsia" w:ascii="Times New Roman" w:hAnsi="Times New Roman" w:cs="Times New Roman"/>
                <w:b w:val="0"/>
                <w:bCs/>
                <w:color w:val="000000"/>
                <w:u w:val="none"/>
              </w:rPr>
              <w:t>③设置地下水环境的监控计划，定期对地下水环境进行监测、监控。</w:t>
            </w:r>
          </w:p>
          <w:p>
            <w:pPr>
              <w:adjustRightInd w:val="0"/>
              <w:snapToGrid w:val="0"/>
              <w:jc w:val="left"/>
              <w:rPr>
                <w:rFonts w:ascii="Times New Roman" w:hAnsi="Times New Roman" w:cs="Times New Roman"/>
                <w:b w:val="0"/>
                <w:bCs/>
                <w:color w:val="000000"/>
                <w:u w:val="none"/>
              </w:rPr>
            </w:pPr>
            <w:r>
              <w:rPr>
                <w:rFonts w:hint="eastAsia" w:ascii="Times New Roman" w:hAnsi="Times New Roman" w:cs="Times New Roman"/>
                <w:b w:val="0"/>
                <w:bCs/>
                <w:color w:val="000000"/>
                <w:u w:val="none"/>
              </w:rPr>
              <w:t>④设置应急监测队伍，当发生泄漏后应及时进行地下水环境监测</w:t>
            </w:r>
            <w:r>
              <w:rPr>
                <w:rFonts w:ascii="Times New Roman" w:hAnsi="Times New Roman" w:cs="Times New Roman"/>
                <w:b w:val="0"/>
                <w:bCs/>
                <w:color w:val="000000"/>
                <w:u w:val="none"/>
              </w:rPr>
              <w:t>。</w:t>
            </w:r>
          </w:p>
        </w:tc>
      </w:tr>
    </w:tbl>
    <w:p>
      <w:pPr>
        <w:adjustRightInd w:val="0"/>
        <w:snapToGrid w:val="0"/>
        <w:spacing w:line="500" w:lineRule="exact"/>
        <w:ind w:firstLine="480" w:firstLineChars="200"/>
        <w:rPr>
          <w:rFonts w:ascii="Times New Roman" w:hAnsi="Times New Roman"/>
          <w:b w:val="0"/>
          <w:bCs w:val="0"/>
          <w:color w:val="FF0000"/>
          <w:sz w:val="24"/>
          <w:u w:val="none"/>
        </w:rPr>
      </w:pPr>
      <w:r>
        <w:rPr>
          <w:rFonts w:hint="eastAsia" w:ascii="Times New Roman" w:hAnsi="Times New Roman" w:cs="Times New Roman"/>
          <w:sz w:val="24"/>
        </w:rPr>
        <w:t>在生产过程中如果发生火灾、爆炸事件，消防废水会携带大量的物料进入外环境，进而对环境造成事故影响，根据</w:t>
      </w:r>
      <w:r>
        <w:rPr>
          <w:rFonts w:ascii="Times New Roman"/>
          <w:sz w:val="24"/>
        </w:rPr>
        <w:t>《汽车加油加气站设计与施工规范》（</w:t>
      </w:r>
      <w:r>
        <w:rPr>
          <w:rFonts w:ascii="Times New Roman" w:hAnsi="Times New Roman"/>
          <w:sz w:val="24"/>
        </w:rPr>
        <w:t>GB 50156-2012</w:t>
      </w:r>
      <w:r>
        <w:rPr>
          <w:rFonts w:ascii="Times New Roman"/>
          <w:sz w:val="24"/>
        </w:rPr>
        <w:t>）（</w:t>
      </w:r>
      <w:r>
        <w:rPr>
          <w:rFonts w:ascii="Times New Roman" w:hAnsi="Times New Roman"/>
          <w:sz w:val="24"/>
        </w:rPr>
        <w:t>2014</w:t>
      </w:r>
      <w:r>
        <w:rPr>
          <w:rFonts w:ascii="Times New Roman"/>
          <w:sz w:val="24"/>
        </w:rPr>
        <w:t>年局部修订版）</w:t>
      </w:r>
      <w:r>
        <w:rPr>
          <w:rFonts w:hint="eastAsia" w:ascii="Times New Roman"/>
          <w:sz w:val="24"/>
        </w:rPr>
        <w:t>规定，消防用水量不应小于15L/s，连续给水时间不应小于1h，因此本次环评建议企业建设一座容积为60m</w:t>
      </w:r>
      <w:r>
        <w:rPr>
          <w:rFonts w:hint="eastAsia" w:ascii="Times New Roman"/>
          <w:sz w:val="24"/>
          <w:vertAlign w:val="superscript"/>
        </w:rPr>
        <w:t>3</w:t>
      </w:r>
      <w:r>
        <w:rPr>
          <w:rFonts w:hint="eastAsia" w:ascii="Times New Roman"/>
          <w:sz w:val="24"/>
        </w:rPr>
        <w:t>（调节系数1.1）的事故池</w:t>
      </w:r>
      <w:r>
        <w:rPr>
          <w:rFonts w:hint="eastAsia" w:ascii="Times New Roman"/>
          <w:sz w:val="24"/>
          <w:lang w:eastAsia="zh-CN"/>
        </w:rPr>
        <w:t>，</w:t>
      </w:r>
      <w:r>
        <w:rPr>
          <w:rFonts w:ascii="Times New Roman" w:hAnsi="Times New Roman"/>
          <w:b w:val="0"/>
          <w:bCs w:val="0"/>
          <w:sz w:val="24"/>
          <w:szCs w:val="24"/>
          <w:u w:val="none"/>
        </w:rPr>
        <w:t>站区四周设置</w:t>
      </w:r>
      <w:r>
        <w:rPr>
          <w:rFonts w:hint="eastAsia" w:ascii="Times New Roman" w:hAnsi="Times New Roman"/>
          <w:b w:val="0"/>
          <w:bCs w:val="0"/>
          <w:sz w:val="24"/>
          <w:szCs w:val="24"/>
          <w:u w:val="none"/>
          <w:lang w:eastAsia="zh-CN"/>
        </w:rPr>
        <w:t>配套</w:t>
      </w:r>
      <w:r>
        <w:rPr>
          <w:rFonts w:ascii="Times New Roman" w:hAnsi="Times New Roman"/>
          <w:b w:val="0"/>
          <w:bCs w:val="0"/>
          <w:sz w:val="24"/>
          <w:szCs w:val="24"/>
          <w:u w:val="none"/>
        </w:rPr>
        <w:t>截水沟用于收集</w:t>
      </w:r>
      <w:r>
        <w:rPr>
          <w:rFonts w:hint="eastAsia" w:ascii="Times New Roman" w:hAnsi="Times New Roman"/>
          <w:b w:val="0"/>
          <w:bCs w:val="0"/>
          <w:sz w:val="24"/>
          <w:szCs w:val="24"/>
          <w:u w:val="none"/>
          <w:lang w:eastAsia="zh-CN"/>
        </w:rPr>
        <w:t>事故废水</w:t>
      </w:r>
      <w:r>
        <w:rPr>
          <w:rFonts w:hint="eastAsia" w:ascii="Times New Roman"/>
          <w:b w:val="0"/>
          <w:bCs w:val="0"/>
          <w:sz w:val="24"/>
          <w:u w:val="none"/>
        </w:rPr>
        <w:t>。同时事故水池建设过程中应做好防渗处理。项目发生事故后，依靠厂区内的安全防护设施和事故应急措施能够及时控制事故，防止蔓延，将事故废水引入事故水池内，严禁乱排、乱流；</w:t>
      </w:r>
      <w:r>
        <w:rPr>
          <w:rFonts w:hint="eastAsia" w:ascii="宋体" w:hAnsi="宋体"/>
          <w:b w:val="0"/>
          <w:bCs w:val="0"/>
          <w:kern w:val="0"/>
          <w:sz w:val="24"/>
          <w:u w:val="none"/>
        </w:rPr>
        <w:t>根据消防废水的实际情况，在咨询相关环保及消防专家意见的前提下，制定可靠的消防废水处理方案，对消防废水进行合理处理，</w:t>
      </w:r>
      <w:r>
        <w:rPr>
          <w:rFonts w:hint="eastAsia" w:ascii="宋体" w:hAnsi="宋体"/>
          <w:b w:val="0"/>
          <w:bCs w:val="0"/>
          <w:kern w:val="0"/>
          <w:sz w:val="24"/>
          <w:u w:val="none"/>
          <w:lang w:eastAsia="zh-CN"/>
        </w:rPr>
        <w:t>不外排</w:t>
      </w:r>
      <w:r>
        <w:rPr>
          <w:rFonts w:hint="eastAsia" w:ascii="宋体" w:hAnsi="宋体"/>
          <w:b w:val="0"/>
          <w:bCs w:val="0"/>
          <w:kern w:val="0"/>
          <w:sz w:val="24"/>
          <w:u w:val="none"/>
        </w:rPr>
        <w:t>。</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②应急预案</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根据国家、地方和相关部门要求，建议企业按下表有关内容和要求制定、完善事故应急预案。</w:t>
      </w:r>
    </w:p>
    <w:p>
      <w:pPr>
        <w:adjustRightInd w:val="0"/>
        <w:snapToGrid w:val="0"/>
        <w:spacing w:line="500" w:lineRule="exact"/>
        <w:ind w:left="567" w:firstLine="1054" w:firstLineChars="500"/>
        <w:rPr>
          <w:rFonts w:hint="eastAsia" w:ascii="Times New Roman" w:hAnsi="Times New Roman" w:eastAsia="宋体" w:cs="Times New Roman"/>
          <w:b/>
          <w:color w:val="000000"/>
          <w:szCs w:val="21"/>
          <w:lang w:eastAsia="zh-CN"/>
        </w:rPr>
      </w:pPr>
      <w:r>
        <w:rPr>
          <w:rFonts w:hint="eastAsia" w:ascii="Times New Roman" w:hAnsi="Times New Roman" w:cs="Times New Roman"/>
          <w:b/>
          <w:color w:val="000000"/>
          <w:szCs w:val="21"/>
        </w:rPr>
        <w:t>表8                 应急</w:t>
      </w:r>
      <w:r>
        <w:rPr>
          <w:rFonts w:hint="eastAsia" w:ascii="Times New Roman" w:hAnsi="Times New Roman" w:cs="Times New Roman"/>
          <w:b/>
          <w:color w:val="000000"/>
          <w:szCs w:val="21"/>
          <w:lang w:eastAsia="zh-CN"/>
        </w:rPr>
        <w:t>预案表</w:t>
      </w:r>
    </w:p>
    <w:tbl>
      <w:tblPr>
        <w:tblStyle w:val="11"/>
        <w:tblW w:w="856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85" w:type="dxa"/>
          <w:left w:w="57" w:type="dxa"/>
          <w:bottom w:w="85" w:type="dxa"/>
          <w:right w:w="57" w:type="dxa"/>
        </w:tblCellMar>
      </w:tblPr>
      <w:tblGrid>
        <w:gridCol w:w="624"/>
        <w:gridCol w:w="1418"/>
        <w:gridCol w:w="65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ascii="Times New Roman" w:hAnsi="Times New Roman" w:cs="Times New Roman"/>
                <w:color w:val="000000"/>
              </w:rPr>
              <w:t>序号</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项目</w:t>
            </w:r>
          </w:p>
        </w:tc>
        <w:tc>
          <w:tcPr>
            <w:tcW w:w="65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内容及要求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ascii="Times New Roman" w:hAnsi="Times New Roman" w:cs="Times New Roman"/>
                <w:color w:val="000000"/>
              </w:rPr>
              <w:t>1</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总则</w:t>
            </w:r>
          </w:p>
        </w:tc>
        <w:tc>
          <w:tcPr>
            <w:tcW w:w="6518" w:type="dxa"/>
            <w:tcMar>
              <w:top w:w="6" w:type="dxa"/>
              <w:bottom w:w="6" w:type="dxa"/>
            </w:tcMar>
            <w:vAlign w:val="center"/>
          </w:tcPr>
          <w:p>
            <w:pPr>
              <w:adjustRightInd w:val="0"/>
              <w:snapToGrid w:val="0"/>
              <w:jc w:val="left"/>
              <w:rPr>
                <w:rFonts w:ascii="Times New Roman" w:hAnsi="Times New Roman" w:cs="Times New Roman"/>
                <w:color w:val="000000"/>
                <w:szCs w:val="21"/>
              </w:rPr>
            </w:pPr>
            <w:r>
              <w:rPr>
                <w:rFonts w:hint="eastAsia" w:ascii="Times New Roman" w:hAnsi="Times New Roman" w:cs="Times New Roman"/>
                <w:color w:val="000000"/>
                <w:szCs w:val="21"/>
              </w:rPr>
              <w:t>编制目的：明确预案编制的目的、要达到的目标和作用等。</w:t>
            </w:r>
          </w:p>
          <w:p>
            <w:pPr>
              <w:adjustRightInd w:val="0"/>
              <w:snapToGrid w:val="0"/>
              <w:jc w:val="left"/>
              <w:rPr>
                <w:rFonts w:ascii="Times New Roman" w:hAnsi="Times New Roman" w:cs="Times New Roman"/>
                <w:color w:val="000000"/>
                <w:szCs w:val="21"/>
              </w:rPr>
            </w:pPr>
            <w:r>
              <w:rPr>
                <w:rFonts w:hint="eastAsia" w:ascii="Times New Roman" w:hAnsi="Times New Roman" w:cs="Times New Roman"/>
                <w:color w:val="000000"/>
                <w:szCs w:val="21"/>
              </w:rPr>
              <w:t>编制依据：明确预案编制所依据的国家法律法规、规章制度，部门文件，有关行业技术规范标准，以及企业关于应急工作的有关制度和管理办法等。</w:t>
            </w:r>
          </w:p>
          <w:p>
            <w:pPr>
              <w:adjustRightInd w:val="0"/>
              <w:snapToGrid w:val="0"/>
              <w:jc w:val="left"/>
              <w:rPr>
                <w:rFonts w:ascii="Times New Roman" w:hAnsi="Times New Roman" w:cs="Times New Roman"/>
                <w:color w:val="000000"/>
                <w:szCs w:val="21"/>
              </w:rPr>
            </w:pPr>
            <w:r>
              <w:rPr>
                <w:rFonts w:hint="eastAsia" w:ascii="Times New Roman" w:hAnsi="Times New Roman" w:cs="Times New Roman"/>
                <w:color w:val="000000"/>
                <w:szCs w:val="21"/>
              </w:rPr>
              <w:t>适用范围：规定应急预案适用的对象、范围，以及环境污染事件的类型、级别等。</w:t>
            </w:r>
          </w:p>
          <w:p>
            <w:pPr>
              <w:adjustRightInd w:val="0"/>
              <w:snapToGrid w:val="0"/>
              <w:jc w:val="left"/>
              <w:rPr>
                <w:rFonts w:ascii="Times New Roman" w:hAnsi="Times New Roman" w:cs="Times New Roman"/>
                <w:color w:val="000000"/>
                <w:szCs w:val="21"/>
              </w:rPr>
            </w:pPr>
            <w:r>
              <w:rPr>
                <w:rFonts w:hint="eastAsia" w:ascii="Times New Roman" w:hAnsi="Times New Roman" w:cs="Times New Roman"/>
                <w:color w:val="000000"/>
                <w:szCs w:val="21"/>
              </w:rPr>
              <w:t>工作原则：明确应急工作应遵循预防为主、减少危害，统一领导、分级负责，企业自救、属地管理，整合资源、联动处置等原则。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ascii="Times New Roman" w:hAnsi="Times New Roman" w:cs="Times New Roman"/>
                <w:color w:val="000000"/>
              </w:rPr>
              <w:t>2</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企业基本情况</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单位基本情况</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生产基本情况</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危险化学品和危险废物的基本情况</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周边环境状况及环境保护目标情况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3</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环境风险源辨识与风险评估</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按照《关于印发《企业突发环境事件风险评估指南（试行）》的通知》（环办[2014]34 号）的要求，编制《突发环境事件风险评估报告》，内容主要包括：环境风险源辨识：对公司生产区域、储存区进行环境风险分析，明确存在的环境风险源。</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环境风险评估：从生产工艺、安全生产控制、环境风险防控措施、环评及审查意见落实情况、废水排放去向等方面对公司的生产工艺与环境风险控制水平进行评估，确定环境风险等级。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4</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组织机构和职责</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由应急领导小组、应急指挥中心、办事机构和工作机构、应急工作主要部门、应急工作支持部门、信息组、专家组、现场应急指挥部等构成。</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站区：站区负责人负责现场全面指挥</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专业救援队伍</w:t>
            </w:r>
            <w:r>
              <w:rPr>
                <w:rFonts w:ascii="Times New Roman" w:hAnsi="Times New Roman" w:cs="Times New Roman"/>
                <w:color w:val="000000"/>
              </w:rPr>
              <w:t></w:t>
            </w:r>
            <w:r>
              <w:rPr>
                <w:rFonts w:hint="eastAsia" w:ascii="Times New Roman" w:hAnsi="Times New Roman" w:cs="Times New Roman"/>
                <w:color w:val="000000"/>
              </w:rPr>
              <w:t>负责事故控制、救援、善后处理</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地区：地区指挥部</w:t>
            </w:r>
            <w:r>
              <w:rPr>
                <w:rFonts w:ascii="Times New Roman" w:hAnsi="Times New Roman" w:cs="Times New Roman"/>
                <w:color w:val="000000"/>
              </w:rPr>
              <w:t></w:t>
            </w:r>
            <w:r>
              <w:rPr>
                <w:rFonts w:hint="eastAsia" w:ascii="Times New Roman" w:hAnsi="Times New Roman" w:cs="Times New Roman"/>
                <w:color w:val="000000"/>
              </w:rPr>
              <w:t>负责工厂附近地区全面指挥，救援、管制、疏散</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专业救援队伍</w:t>
            </w:r>
            <w:r>
              <w:rPr>
                <w:rFonts w:ascii="Times New Roman" w:hAnsi="Times New Roman" w:cs="Times New Roman"/>
                <w:color w:val="000000"/>
              </w:rPr>
              <w:t></w:t>
            </w:r>
            <w:r>
              <w:rPr>
                <w:rFonts w:hint="eastAsia" w:ascii="Times New Roman" w:hAnsi="Times New Roman" w:cs="Times New Roman"/>
                <w:color w:val="000000"/>
              </w:rPr>
              <w:t>负责对厂专业救援队伍的支援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5</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应急能力建设</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按照《企业事业单位突发环境事件应急预案备案管理办法（试行）》（环发[2015]4 号）的要求，编制《应急资源调查报告》，主要内容包括：</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应急处置队伍：包括通讯联络队、抢险抢修队、医疗救护队、应急消</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防队、治安队、物资供应队和应急环境监测队等。</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应急设施：包括医疗救护仪器、药品、个人防护装备器材、消防设施、</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堵漏器材、应急监测仪器设备和应急交通工具等。</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应急物资：处理泄漏物、消解和吸收污染物的物资。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6</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预警与信息报送</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报警、通讯联络方式</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信息报告与处置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7</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应急响应和措施</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分级响应机制；现场应急措施；应急设施（备）及应急物资的启用程序；</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抢险、处置及控制措施；人员紧急撤离和疏散；大气环境突发环境事件的</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应急措施；水环境突发环境事件的应急措施；应急监测；应急终止</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8</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 xml:space="preserve">后期处置  </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现场恢复；环境恢复；善后赔偿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9</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 xml:space="preserve">保障措施  </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通信与信息保障；应急队伍保障；应急物资装备保障；经费及其他保障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10</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培训与演练</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应急计划制定后，平时安排人员培训与演练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11</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奖惩</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明确突发环境事件应急处置工作中奖励和处罚的条件和内容。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12</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评审、发布和</w:t>
            </w:r>
          </w:p>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更新</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明确预案评审、发布和更新要求：内部评审；外部评审；发布的时间、抄送的部门、企业、社区等。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13</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实施和生效时</w:t>
            </w:r>
          </w:p>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间</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列出预案实施和生效的具体时间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14</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附件</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环境影响评价文件；危险废物登记文件；应急处置组织机构名单；组织应急处置有关人员联系电话；外部救援单位联系电话；政府有关部门联系电话；区域位置及周围环境敏感点分布图；本单位及周边重大危险源分布图；应急设施（备）平面布置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85" w:type="dxa"/>
            <w:left w:w="57" w:type="dxa"/>
            <w:bottom w:w="85" w:type="dxa"/>
            <w:right w:w="57" w:type="dxa"/>
          </w:tblCellMar>
        </w:tblPrEx>
        <w:trPr>
          <w:trHeight w:val="397" w:hRule="atLeast"/>
          <w:jc w:val="center"/>
        </w:trPr>
        <w:tc>
          <w:tcPr>
            <w:tcW w:w="624"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15</w:t>
            </w:r>
          </w:p>
        </w:tc>
        <w:tc>
          <w:tcPr>
            <w:tcW w:w="1418" w:type="dxa"/>
            <w:tcMar>
              <w:top w:w="6" w:type="dxa"/>
              <w:bottom w:w="6" w:type="dxa"/>
            </w:tcMar>
            <w:vAlign w:val="center"/>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编制说明</w:t>
            </w:r>
          </w:p>
        </w:tc>
        <w:tc>
          <w:tcPr>
            <w:tcW w:w="6518" w:type="dxa"/>
            <w:tcMar>
              <w:top w:w="6" w:type="dxa"/>
              <w:bottom w:w="6" w:type="dxa"/>
            </w:tcMar>
            <w:vAlign w:val="center"/>
          </w:tcPr>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按照《企业事业单位突发环境事件应急预案备案管理办法（试行）》（环发[2015]4 号）的要求，编制《突发环境事件应急预案编制说明》，主要内容</w:t>
            </w:r>
          </w:p>
          <w:p>
            <w:pPr>
              <w:adjustRightInd w:val="0"/>
              <w:snapToGrid w:val="0"/>
              <w:jc w:val="left"/>
              <w:rPr>
                <w:rFonts w:ascii="Times New Roman" w:hAnsi="Times New Roman" w:cs="Times New Roman"/>
                <w:color w:val="000000"/>
              </w:rPr>
            </w:pPr>
            <w:r>
              <w:rPr>
                <w:rFonts w:hint="eastAsia" w:ascii="Times New Roman" w:hAnsi="Times New Roman" w:cs="Times New Roman"/>
                <w:color w:val="000000"/>
              </w:rPr>
              <w:t>包括：《预案》编制背景、《预案》编制过程、预案重点内容、预案征求意见情况、《预案》评审情况</w:t>
            </w:r>
          </w:p>
        </w:tc>
      </w:tr>
    </w:tbl>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同时，应急预案在编制过程中应注意与地方政府应急预案的对接与联动，并保证在事故状态下的环境监测计划的实施。</w:t>
      </w:r>
    </w:p>
    <w:bookmarkEnd w:id="6"/>
    <w:bookmarkEnd w:id="7"/>
    <w:p>
      <w:pPr>
        <w:adjustRightInd w:val="0"/>
        <w:snapToGrid w:val="0"/>
        <w:spacing w:line="600" w:lineRule="exact"/>
        <w:rPr>
          <w:rFonts w:ascii="Times New Roman" w:hAnsi="Times New Roman" w:cs="Times New Roman"/>
          <w:b/>
          <w:sz w:val="28"/>
          <w:szCs w:val="28"/>
        </w:rPr>
      </w:pPr>
      <w:r>
        <w:rPr>
          <w:rFonts w:hint="eastAsia" w:ascii="Times New Roman" w:hAnsi="Times New Roman" w:cs="Times New Roman"/>
          <w:b/>
          <w:bCs/>
          <w:sz w:val="24"/>
        </w:rPr>
        <w:t>2.6</w:t>
      </w:r>
      <w:r>
        <w:rPr>
          <w:rFonts w:ascii="Times New Roman" w:hAnsi="Times New Roman" w:cs="Times New Roman"/>
          <w:b/>
          <w:bCs/>
          <w:sz w:val="24"/>
        </w:rPr>
        <w:t>、</w:t>
      </w:r>
      <w:r>
        <w:rPr>
          <w:rFonts w:hint="eastAsia" w:ascii="Times New Roman" w:hAnsi="Times New Roman" w:cs="Times New Roman"/>
          <w:b/>
          <w:bCs/>
          <w:sz w:val="24"/>
        </w:rPr>
        <w:t>分析结论</w:t>
      </w:r>
    </w:p>
    <w:p>
      <w:pPr>
        <w:adjustRightInd w:val="0"/>
        <w:snapToGrid w:val="0"/>
        <w:spacing w:line="500" w:lineRule="exact"/>
        <w:ind w:firstLine="480" w:firstLineChars="200"/>
        <w:rPr>
          <w:rFonts w:ascii="Times New Roman" w:hAnsi="Times New Roman" w:cs="Times New Roman"/>
          <w:sz w:val="24"/>
        </w:rPr>
      </w:pPr>
      <w:r>
        <w:rPr>
          <w:rFonts w:hint="eastAsia" w:ascii="Times New Roman" w:hAnsi="Times New Roman" w:cs="Times New Roman"/>
          <w:sz w:val="24"/>
        </w:rPr>
        <w:t>本项目在落实一系列事故防范措施，制定完备的环境风险应急预案，保证事故防范措施等的前提下，项目环境风险可控制在可接受水平内。本评价认为在科学管理和完善的预防应急措施处置机制保障下，本项目发生风险事故的可能性是比较低的，风险程度属于可接受范围。事故的影响是短暂的，在事故妥善处理后，周围环境质量可以恢复原状水平。</w:t>
      </w:r>
    </w:p>
    <w:p>
      <w:pPr>
        <w:adjustRightInd w:val="0"/>
        <w:snapToGrid w:val="0"/>
        <w:spacing w:line="500" w:lineRule="exact"/>
        <w:ind w:left="567" w:firstLine="422" w:firstLineChars="200"/>
        <w:jc w:val="both"/>
        <w:rPr>
          <w:rFonts w:hint="eastAsia" w:ascii="Times New Roman" w:hAnsi="Times New Roman" w:eastAsia="宋体" w:cs="Times New Roman"/>
          <w:b/>
          <w:color w:val="000000"/>
          <w:szCs w:val="21"/>
          <w:lang w:eastAsia="zh-CN"/>
        </w:rPr>
      </w:pPr>
      <w:r>
        <w:rPr>
          <w:rFonts w:hint="eastAsia" w:ascii="Times New Roman" w:hAnsi="Times New Roman" w:cs="Times New Roman"/>
          <w:b/>
          <w:color w:val="000000"/>
          <w:szCs w:val="21"/>
        </w:rPr>
        <w:t xml:space="preserve">表9        </w:t>
      </w:r>
      <w:r>
        <w:rPr>
          <w:rFonts w:hint="eastAsia" w:ascii="Times New Roman" w:hAnsi="Times New Roman" w:cs="Times New Roman"/>
          <w:b/>
          <w:color w:val="000000"/>
          <w:szCs w:val="21"/>
          <w:lang w:eastAsia="zh-CN"/>
        </w:rPr>
        <w:t>建设项目环境风险简单分析内容表</w:t>
      </w:r>
    </w:p>
    <w:tbl>
      <w:tblPr>
        <w:tblStyle w:val="11"/>
        <w:tblW w:w="0" w:type="auto"/>
        <w:tblInd w:w="108"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2127"/>
        <w:gridCol w:w="1275"/>
        <w:gridCol w:w="1843"/>
        <w:gridCol w:w="851"/>
        <w:gridCol w:w="1275"/>
        <w:gridCol w:w="118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2127"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建设项目名称</w:t>
            </w:r>
          </w:p>
        </w:tc>
        <w:tc>
          <w:tcPr>
            <w:tcW w:w="6427" w:type="dxa"/>
            <w:gridSpan w:val="5"/>
            <w:vAlign w:val="center"/>
          </w:tcPr>
          <w:p>
            <w:pPr>
              <w:adjustRightInd w:val="0"/>
              <w:snapToGrid w:val="0"/>
              <w:spacing w:line="500" w:lineRule="exact"/>
              <w:jc w:val="center"/>
              <w:rPr>
                <w:rFonts w:ascii="Times New Roman" w:hAnsi="Times New Roman" w:cs="Times New Roman"/>
                <w:color w:val="000000"/>
                <w:szCs w:val="21"/>
              </w:rPr>
            </w:pPr>
            <w:r>
              <w:rPr>
                <w:rFonts w:ascii="Times New Roman" w:hAnsi="Times New Roman"/>
                <w:kern w:val="0"/>
                <w:sz w:val="21"/>
                <w:szCs w:val="21"/>
              </w:rPr>
              <w:t>鲁山县</w:t>
            </w:r>
            <w:r>
              <w:rPr>
                <w:rFonts w:hint="eastAsia" w:ascii="Times New Roman" w:hAnsi="Times New Roman"/>
                <w:kern w:val="0"/>
                <w:sz w:val="21"/>
                <w:szCs w:val="21"/>
                <w:lang w:eastAsia="zh-CN"/>
              </w:rPr>
              <w:t>润达</w:t>
            </w:r>
            <w:r>
              <w:rPr>
                <w:rFonts w:ascii="Times New Roman" w:hAnsi="Times New Roman"/>
                <w:kern w:val="0"/>
                <w:sz w:val="21"/>
                <w:szCs w:val="21"/>
              </w:rPr>
              <w:t>加油站</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2127"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建设地点</w:t>
            </w:r>
          </w:p>
        </w:tc>
        <w:tc>
          <w:tcPr>
            <w:tcW w:w="1275"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（河南）省</w:t>
            </w:r>
          </w:p>
        </w:tc>
        <w:tc>
          <w:tcPr>
            <w:tcW w:w="1843"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（平顶山）市</w:t>
            </w:r>
          </w:p>
        </w:tc>
        <w:tc>
          <w:tcPr>
            <w:tcW w:w="851"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（/）区</w:t>
            </w:r>
          </w:p>
        </w:tc>
        <w:tc>
          <w:tcPr>
            <w:tcW w:w="1275"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（鲁山）县</w:t>
            </w:r>
          </w:p>
        </w:tc>
        <w:tc>
          <w:tcPr>
            <w:tcW w:w="1183"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（/）园区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2127"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地理坐标</w:t>
            </w:r>
          </w:p>
        </w:tc>
        <w:tc>
          <w:tcPr>
            <w:tcW w:w="1275" w:type="dxa"/>
            <w:vAlign w:val="center"/>
          </w:tcPr>
          <w:p>
            <w:pPr>
              <w:adjustRightInd w:val="0"/>
              <w:snapToGrid w:val="0"/>
              <w:spacing w:line="500" w:lineRule="exact"/>
              <w:jc w:val="center"/>
              <w:rPr>
                <w:rFonts w:ascii="Times New Roman" w:hAnsi="Times New Roman" w:cs="Times New Roman"/>
                <w:szCs w:val="21"/>
              </w:rPr>
            </w:pPr>
            <w:r>
              <w:rPr>
                <w:rFonts w:hint="eastAsia" w:ascii="Times New Roman" w:hAnsi="Times New Roman" w:cs="Times New Roman"/>
                <w:szCs w:val="21"/>
              </w:rPr>
              <w:t>经度</w:t>
            </w:r>
          </w:p>
        </w:tc>
        <w:tc>
          <w:tcPr>
            <w:tcW w:w="1843" w:type="dxa"/>
            <w:vAlign w:val="center"/>
          </w:tcPr>
          <w:p>
            <w:pPr>
              <w:adjustRightInd w:val="0"/>
              <w:snapToGrid w:val="0"/>
              <w:spacing w:line="500" w:lineRule="exact"/>
              <w:jc w:val="center"/>
              <w:rPr>
                <w:rFonts w:ascii="Times New Roman" w:hAnsi="Times New Roman" w:cs="Times New Roman"/>
                <w:color w:val="FF0000"/>
                <w:szCs w:val="21"/>
              </w:rPr>
            </w:pPr>
            <w:r>
              <w:rPr>
                <w:rFonts w:hint="eastAsia" w:ascii="Times New Roman" w:hAnsi="Times New Roman" w:cs="Times New Roman"/>
                <w:color w:val="auto"/>
                <w:szCs w:val="21"/>
              </w:rPr>
              <w:t>11</w:t>
            </w:r>
            <w:r>
              <w:rPr>
                <w:rFonts w:hint="eastAsia" w:ascii="Times New Roman" w:hAnsi="Times New Roman" w:cs="Times New Roman"/>
                <w:color w:val="auto"/>
                <w:szCs w:val="21"/>
                <w:lang w:val="en-US" w:eastAsia="zh-CN"/>
              </w:rPr>
              <w:t>3</w:t>
            </w:r>
            <w:r>
              <w:rPr>
                <w:rFonts w:hint="eastAsia" w:ascii="Times New Roman" w:hAnsi="Times New Roman" w:cs="Times New Roman"/>
                <w:color w:val="auto"/>
                <w:szCs w:val="21"/>
              </w:rPr>
              <w:t>°</w:t>
            </w:r>
            <w:r>
              <w:rPr>
                <w:rFonts w:hint="eastAsia" w:ascii="Times New Roman" w:hAnsi="Times New Roman" w:cs="Times New Roman"/>
                <w:color w:val="auto"/>
                <w:szCs w:val="21"/>
                <w:lang w:val="en-US" w:eastAsia="zh-CN"/>
              </w:rPr>
              <w:t>6</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26.98</w:t>
            </w:r>
            <w:r>
              <w:rPr>
                <w:rFonts w:ascii="Times New Roman" w:hAnsi="Times New Roman" w:cs="Times New Roman"/>
                <w:color w:val="auto"/>
                <w:szCs w:val="21"/>
              </w:rPr>
              <w:t>"</w:t>
            </w:r>
          </w:p>
        </w:tc>
        <w:tc>
          <w:tcPr>
            <w:tcW w:w="851" w:type="dxa"/>
            <w:vAlign w:val="center"/>
          </w:tcPr>
          <w:p>
            <w:pPr>
              <w:adjustRightInd w:val="0"/>
              <w:snapToGrid w:val="0"/>
              <w:spacing w:line="500" w:lineRule="exact"/>
              <w:jc w:val="center"/>
              <w:rPr>
                <w:rFonts w:ascii="Times New Roman" w:hAnsi="Times New Roman" w:cs="Times New Roman"/>
                <w:color w:val="auto"/>
                <w:szCs w:val="21"/>
              </w:rPr>
            </w:pPr>
            <w:r>
              <w:rPr>
                <w:rFonts w:hint="eastAsia" w:ascii="Times New Roman" w:hAnsi="Times New Roman" w:cs="Times New Roman"/>
                <w:color w:val="auto"/>
                <w:szCs w:val="21"/>
              </w:rPr>
              <w:t>纬度</w:t>
            </w:r>
          </w:p>
        </w:tc>
        <w:tc>
          <w:tcPr>
            <w:tcW w:w="2458" w:type="dxa"/>
            <w:gridSpan w:val="2"/>
            <w:vAlign w:val="center"/>
          </w:tcPr>
          <w:p>
            <w:pPr>
              <w:adjustRightInd w:val="0"/>
              <w:snapToGrid w:val="0"/>
              <w:spacing w:line="500" w:lineRule="exact"/>
              <w:jc w:val="center"/>
              <w:rPr>
                <w:rFonts w:ascii="Times New Roman" w:hAnsi="Times New Roman" w:cs="Times New Roman"/>
                <w:color w:val="auto"/>
                <w:szCs w:val="21"/>
              </w:rPr>
            </w:pPr>
            <w:r>
              <w:rPr>
                <w:rFonts w:hint="eastAsia" w:ascii="Times New Roman" w:hAnsi="Times New Roman" w:cs="Times New Roman"/>
                <w:color w:val="auto"/>
                <w:szCs w:val="21"/>
              </w:rPr>
              <w:t>33°</w:t>
            </w:r>
            <w:r>
              <w:rPr>
                <w:rFonts w:hint="eastAsia" w:ascii="Times New Roman" w:hAnsi="Times New Roman" w:cs="Times New Roman"/>
                <w:color w:val="auto"/>
                <w:szCs w:val="21"/>
                <w:lang w:val="en-US" w:eastAsia="zh-CN"/>
              </w:rPr>
              <w:t>38</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48.49</w:t>
            </w:r>
            <w:r>
              <w:rPr>
                <w:rFonts w:ascii="Times New Roman" w:hAnsi="Times New Roman" w:cs="Times New Roman"/>
                <w:color w:val="auto"/>
                <w:szCs w:val="21"/>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2127"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主要危险物质及分布</w:t>
            </w:r>
          </w:p>
        </w:tc>
        <w:tc>
          <w:tcPr>
            <w:tcW w:w="6427" w:type="dxa"/>
            <w:gridSpan w:val="5"/>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柴油、汽油；主要分布于地下油罐内</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2127" w:type="dxa"/>
            <w:vAlign w:val="center"/>
          </w:tcPr>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环境影响途径及危害</w:t>
            </w:r>
          </w:p>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后果（大气、地表</w:t>
            </w:r>
          </w:p>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水、地下水等）</w:t>
            </w:r>
          </w:p>
        </w:tc>
        <w:tc>
          <w:tcPr>
            <w:tcW w:w="6427" w:type="dxa"/>
            <w:gridSpan w:val="5"/>
            <w:vAlign w:val="center"/>
          </w:tcPr>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火灾、爆炸事故引发的伴生/次生污染物（二氧化硫、一氧化碳等）</w:t>
            </w:r>
          </w:p>
          <w:p>
            <w:pPr>
              <w:adjustRightInd w:val="0"/>
              <w:snapToGrid w:val="0"/>
              <w:rPr>
                <w:rFonts w:ascii="Times New Roman" w:hAnsi="Times New Roman" w:cs="Times New Roman"/>
                <w:color w:val="000000"/>
                <w:szCs w:val="21"/>
              </w:rPr>
            </w:pPr>
            <w:r>
              <w:rPr>
                <w:rFonts w:hint="eastAsia" w:ascii="Times New Roman" w:hAnsi="Times New Roman" w:cs="Times New Roman"/>
                <w:color w:val="000000"/>
                <w:szCs w:val="21"/>
              </w:rPr>
              <w:t>的排放对大气环境产生不利影响；</w:t>
            </w:r>
          </w:p>
          <w:p>
            <w:pPr>
              <w:adjustRightInd w:val="0"/>
              <w:snapToGrid w:val="0"/>
              <w:jc w:val="center"/>
              <w:rPr>
                <w:rFonts w:ascii="Times New Roman" w:hAnsi="Times New Roman" w:cs="Times New Roman"/>
                <w:color w:val="000000"/>
                <w:szCs w:val="21"/>
              </w:rPr>
            </w:pPr>
            <w:r>
              <w:rPr>
                <w:rFonts w:hint="eastAsia" w:ascii="Times New Roman" w:hAnsi="Times New Roman" w:cs="Times New Roman"/>
                <w:color w:val="000000"/>
                <w:szCs w:val="21"/>
              </w:rPr>
              <w:t>柴油、汽油泄露后经包气带渗漏至潜水含水层后污染地下水环境。</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2127" w:type="dxa"/>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风险防范措施要求</w:t>
            </w:r>
          </w:p>
        </w:tc>
        <w:tc>
          <w:tcPr>
            <w:tcW w:w="6427" w:type="dxa"/>
            <w:gridSpan w:val="5"/>
            <w:vAlign w:val="center"/>
          </w:tcPr>
          <w:p>
            <w:pPr>
              <w:adjustRightInd w:val="0"/>
              <w:snapToGrid w:val="0"/>
              <w:spacing w:line="5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详见表8，并编制《突发环境应急预案》</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8554" w:type="dxa"/>
            <w:gridSpan w:val="6"/>
            <w:vAlign w:val="center"/>
          </w:tcPr>
          <w:p>
            <w:pPr>
              <w:adjustRightInd w:val="0"/>
              <w:snapToGrid w:val="0"/>
              <w:jc w:val="left"/>
              <w:rPr>
                <w:rFonts w:ascii="Times New Roman" w:hAnsi="Times New Roman" w:cs="Times New Roman"/>
                <w:color w:val="000000"/>
                <w:szCs w:val="21"/>
              </w:rPr>
            </w:pPr>
            <w:r>
              <w:rPr>
                <w:rFonts w:hint="eastAsia" w:ascii="Times New Roman" w:hAnsi="Times New Roman" w:cs="Times New Roman"/>
                <w:color w:val="000000"/>
                <w:szCs w:val="21"/>
              </w:rPr>
              <w:t>填表说明（列出项目相关信息及评价说明）：</w:t>
            </w:r>
          </w:p>
          <w:p>
            <w:pPr>
              <w:adjustRightInd w:val="0"/>
              <w:snapToGrid w:val="0"/>
              <w:jc w:val="left"/>
              <w:rPr>
                <w:rFonts w:ascii="Times New Roman" w:hAnsi="Times New Roman" w:cs="Times New Roman"/>
                <w:color w:val="000000"/>
                <w:szCs w:val="21"/>
              </w:rPr>
            </w:pPr>
            <w:r>
              <w:rPr>
                <w:rFonts w:hint="eastAsia" w:ascii="Times New Roman" w:hAnsi="Times New Roman" w:cs="Times New Roman"/>
                <w:color w:val="000000"/>
                <w:szCs w:val="21"/>
              </w:rPr>
              <w:t>项目 Q=</w:t>
            </w:r>
            <w:r>
              <w:rPr>
                <w:rFonts w:hint="eastAsia" w:ascii="Times New Roman" w:hAnsi="Times New Roman" w:cs="Times New Roman"/>
                <w:color w:val="000000"/>
                <w:szCs w:val="21"/>
                <w:lang w:val="en-US" w:eastAsia="zh-CN"/>
              </w:rPr>
              <w:t>0.0136</w:t>
            </w:r>
            <w:r>
              <w:rPr>
                <w:rFonts w:hint="eastAsia" w:ascii="Times New Roman" w:hAnsi="Times New Roman" w:cs="Times New Roman"/>
                <w:color w:val="000000"/>
                <w:szCs w:val="21"/>
              </w:rPr>
              <w:t>＜1。项目的环境风险潜势为Ⅰ，可开展简单分析。</w:t>
            </w:r>
          </w:p>
        </w:tc>
      </w:tr>
    </w:tbl>
    <w:p>
      <w:pPr>
        <w:adjustRightInd w:val="0"/>
        <w:snapToGrid w:val="0"/>
        <w:spacing w:line="500" w:lineRule="exact"/>
        <w:ind w:left="567"/>
        <w:jc w:val="center"/>
        <w:rPr>
          <w:rFonts w:ascii="Times New Roman" w:hAnsi="Times New Roman" w:cs="Times New Roman"/>
          <w:b/>
          <w:color w:val="000000"/>
          <w:szCs w:val="21"/>
        </w:rPr>
      </w:pPr>
    </w:p>
    <w:p>
      <w:pPr>
        <w:adjustRightInd w:val="0"/>
        <w:snapToGrid w:val="0"/>
        <w:spacing w:line="500" w:lineRule="exact"/>
        <w:ind w:firstLine="480" w:firstLineChars="200"/>
        <w:rPr>
          <w:rFonts w:ascii="Times New Roman" w:hAnsi="Times New Roman" w:cs="Times New Roman"/>
          <w:sz w:val="24"/>
        </w:rPr>
      </w:pPr>
    </w:p>
    <w:sectPr>
      <w:footerReference r:id="rId4" w:type="default"/>
      <w:pgSz w:w="11906" w:h="16838"/>
      <w:pgMar w:top="1701" w:right="1588" w:bottom="1701" w:left="1588" w:header="851" w:footer="1247" w:gutter="284"/>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pict>
        <v:shape id="_x0000_s4098" o:spid="_x0000_s4098"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7"/>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8613F"/>
    <w:multiLevelType w:val="multilevel"/>
    <w:tmpl w:val="3EF8613F"/>
    <w:lvl w:ilvl="0" w:tentative="0">
      <w:start w:val="1"/>
      <w:numFmt w:val="decimal"/>
      <w:lvlText w:val="表%1"/>
      <w:lvlJc w:val="left"/>
      <w:pPr>
        <w:ind w:left="987" w:hanging="420"/>
      </w:pPr>
      <w:rPr>
        <w:rFonts w:hint="default" w:ascii="Times New Roman" w:hAnsi="Times New Roman" w:cs="Times New Roman"/>
        <w:sz w:val="21"/>
        <w:szCs w:val="21"/>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89B2D12"/>
    <w:rsid w:val="000013F8"/>
    <w:rsid w:val="00002927"/>
    <w:rsid w:val="00002A7E"/>
    <w:rsid w:val="000034C2"/>
    <w:rsid w:val="00006C08"/>
    <w:rsid w:val="00012384"/>
    <w:rsid w:val="00015FC9"/>
    <w:rsid w:val="00016D6C"/>
    <w:rsid w:val="00020436"/>
    <w:rsid w:val="00025CB5"/>
    <w:rsid w:val="0004425E"/>
    <w:rsid w:val="0005204B"/>
    <w:rsid w:val="00052901"/>
    <w:rsid w:val="00055CDA"/>
    <w:rsid w:val="00057186"/>
    <w:rsid w:val="0006185D"/>
    <w:rsid w:val="00065E31"/>
    <w:rsid w:val="000707C9"/>
    <w:rsid w:val="0007574F"/>
    <w:rsid w:val="0007625A"/>
    <w:rsid w:val="00076291"/>
    <w:rsid w:val="00076F51"/>
    <w:rsid w:val="000817AA"/>
    <w:rsid w:val="00090BBB"/>
    <w:rsid w:val="00093B27"/>
    <w:rsid w:val="000A1EE9"/>
    <w:rsid w:val="000A32CB"/>
    <w:rsid w:val="000A4071"/>
    <w:rsid w:val="000A5F1E"/>
    <w:rsid w:val="000B1AA0"/>
    <w:rsid w:val="000B6481"/>
    <w:rsid w:val="000C0A4C"/>
    <w:rsid w:val="000C1215"/>
    <w:rsid w:val="000C235C"/>
    <w:rsid w:val="000C4244"/>
    <w:rsid w:val="000C487B"/>
    <w:rsid w:val="000C491C"/>
    <w:rsid w:val="000C541D"/>
    <w:rsid w:val="000C5C27"/>
    <w:rsid w:val="000D3A57"/>
    <w:rsid w:val="000D5E0D"/>
    <w:rsid w:val="000D7030"/>
    <w:rsid w:val="000E38D4"/>
    <w:rsid w:val="000E7733"/>
    <w:rsid w:val="000F02DF"/>
    <w:rsid w:val="000F4323"/>
    <w:rsid w:val="000F504E"/>
    <w:rsid w:val="001015CF"/>
    <w:rsid w:val="00110A67"/>
    <w:rsid w:val="00114C01"/>
    <w:rsid w:val="001202A7"/>
    <w:rsid w:val="00122685"/>
    <w:rsid w:val="00122F29"/>
    <w:rsid w:val="001234C7"/>
    <w:rsid w:val="00123A96"/>
    <w:rsid w:val="00125668"/>
    <w:rsid w:val="00126EB8"/>
    <w:rsid w:val="0013240A"/>
    <w:rsid w:val="00137E49"/>
    <w:rsid w:val="00140F2F"/>
    <w:rsid w:val="00143B0C"/>
    <w:rsid w:val="001470C3"/>
    <w:rsid w:val="0015043E"/>
    <w:rsid w:val="00150CFA"/>
    <w:rsid w:val="001537FA"/>
    <w:rsid w:val="0015651D"/>
    <w:rsid w:val="001568E0"/>
    <w:rsid w:val="00160661"/>
    <w:rsid w:val="00167834"/>
    <w:rsid w:val="001752B4"/>
    <w:rsid w:val="00182247"/>
    <w:rsid w:val="00185EAD"/>
    <w:rsid w:val="001917B9"/>
    <w:rsid w:val="00191C77"/>
    <w:rsid w:val="00192CDA"/>
    <w:rsid w:val="00194373"/>
    <w:rsid w:val="00195B78"/>
    <w:rsid w:val="00195C6E"/>
    <w:rsid w:val="00196955"/>
    <w:rsid w:val="00196EBA"/>
    <w:rsid w:val="001A2461"/>
    <w:rsid w:val="001A72EB"/>
    <w:rsid w:val="001B2248"/>
    <w:rsid w:val="001B6792"/>
    <w:rsid w:val="001B7AE3"/>
    <w:rsid w:val="001C1439"/>
    <w:rsid w:val="001C6BA4"/>
    <w:rsid w:val="001D376D"/>
    <w:rsid w:val="001D38FD"/>
    <w:rsid w:val="001D7863"/>
    <w:rsid w:val="001E3BE3"/>
    <w:rsid w:val="001E4BBA"/>
    <w:rsid w:val="001F21BF"/>
    <w:rsid w:val="001F671A"/>
    <w:rsid w:val="002040C4"/>
    <w:rsid w:val="0020531B"/>
    <w:rsid w:val="00222843"/>
    <w:rsid w:val="00224C3E"/>
    <w:rsid w:val="00234B23"/>
    <w:rsid w:val="00237169"/>
    <w:rsid w:val="0025499C"/>
    <w:rsid w:val="00255212"/>
    <w:rsid w:val="00266AEC"/>
    <w:rsid w:val="00267239"/>
    <w:rsid w:val="002716C4"/>
    <w:rsid w:val="00271B36"/>
    <w:rsid w:val="00281F54"/>
    <w:rsid w:val="00296866"/>
    <w:rsid w:val="00297038"/>
    <w:rsid w:val="002D1508"/>
    <w:rsid w:val="002E17A8"/>
    <w:rsid w:val="002E28DC"/>
    <w:rsid w:val="002E6D92"/>
    <w:rsid w:val="002F2B8B"/>
    <w:rsid w:val="002F3783"/>
    <w:rsid w:val="002F5B6B"/>
    <w:rsid w:val="003022F0"/>
    <w:rsid w:val="003037A7"/>
    <w:rsid w:val="0031562D"/>
    <w:rsid w:val="00320D8C"/>
    <w:rsid w:val="00322198"/>
    <w:rsid w:val="00322B1F"/>
    <w:rsid w:val="00322D52"/>
    <w:rsid w:val="00323B24"/>
    <w:rsid w:val="00333B42"/>
    <w:rsid w:val="003365F6"/>
    <w:rsid w:val="00343162"/>
    <w:rsid w:val="003620F2"/>
    <w:rsid w:val="00366F11"/>
    <w:rsid w:val="00374969"/>
    <w:rsid w:val="00381BED"/>
    <w:rsid w:val="00381E08"/>
    <w:rsid w:val="003829AF"/>
    <w:rsid w:val="0038350E"/>
    <w:rsid w:val="00394DE6"/>
    <w:rsid w:val="00397E77"/>
    <w:rsid w:val="003A1200"/>
    <w:rsid w:val="003A183E"/>
    <w:rsid w:val="003A7BA1"/>
    <w:rsid w:val="003B2CBB"/>
    <w:rsid w:val="003B6BDB"/>
    <w:rsid w:val="003C3BF3"/>
    <w:rsid w:val="003C4127"/>
    <w:rsid w:val="003C780E"/>
    <w:rsid w:val="003C7C08"/>
    <w:rsid w:val="003D0C6A"/>
    <w:rsid w:val="003D2C00"/>
    <w:rsid w:val="003D50B1"/>
    <w:rsid w:val="003D7120"/>
    <w:rsid w:val="003D7252"/>
    <w:rsid w:val="003E06AF"/>
    <w:rsid w:val="003F7827"/>
    <w:rsid w:val="004020F3"/>
    <w:rsid w:val="0040292E"/>
    <w:rsid w:val="00404CB1"/>
    <w:rsid w:val="0040597E"/>
    <w:rsid w:val="00405E26"/>
    <w:rsid w:val="0041003C"/>
    <w:rsid w:val="00415EA2"/>
    <w:rsid w:val="00420277"/>
    <w:rsid w:val="00420326"/>
    <w:rsid w:val="00420E13"/>
    <w:rsid w:val="0042131C"/>
    <w:rsid w:val="004218D2"/>
    <w:rsid w:val="004237B7"/>
    <w:rsid w:val="00424333"/>
    <w:rsid w:val="004352AC"/>
    <w:rsid w:val="00435E14"/>
    <w:rsid w:val="00437C0F"/>
    <w:rsid w:val="0045368B"/>
    <w:rsid w:val="00454030"/>
    <w:rsid w:val="00463DDC"/>
    <w:rsid w:val="0046626A"/>
    <w:rsid w:val="00474123"/>
    <w:rsid w:val="00477164"/>
    <w:rsid w:val="00477448"/>
    <w:rsid w:val="00477973"/>
    <w:rsid w:val="004827C9"/>
    <w:rsid w:val="00493CBF"/>
    <w:rsid w:val="00495FAF"/>
    <w:rsid w:val="00496862"/>
    <w:rsid w:val="00496972"/>
    <w:rsid w:val="004A29A1"/>
    <w:rsid w:val="004A39FE"/>
    <w:rsid w:val="004A66EE"/>
    <w:rsid w:val="004A7914"/>
    <w:rsid w:val="004B114E"/>
    <w:rsid w:val="004B1539"/>
    <w:rsid w:val="004B3BE5"/>
    <w:rsid w:val="004B55BE"/>
    <w:rsid w:val="004B5BDE"/>
    <w:rsid w:val="004C5CF4"/>
    <w:rsid w:val="004C62ED"/>
    <w:rsid w:val="004C6B90"/>
    <w:rsid w:val="004C7835"/>
    <w:rsid w:val="004D1EDA"/>
    <w:rsid w:val="004D374A"/>
    <w:rsid w:val="004D5C90"/>
    <w:rsid w:val="004D6D3A"/>
    <w:rsid w:val="004D7189"/>
    <w:rsid w:val="004E6F25"/>
    <w:rsid w:val="0050180E"/>
    <w:rsid w:val="005034E3"/>
    <w:rsid w:val="0050374C"/>
    <w:rsid w:val="00506D26"/>
    <w:rsid w:val="0050774E"/>
    <w:rsid w:val="00511E61"/>
    <w:rsid w:val="00514F2A"/>
    <w:rsid w:val="0053409B"/>
    <w:rsid w:val="0053703A"/>
    <w:rsid w:val="0054140A"/>
    <w:rsid w:val="005551F7"/>
    <w:rsid w:val="00555CBB"/>
    <w:rsid w:val="00557827"/>
    <w:rsid w:val="00560E63"/>
    <w:rsid w:val="00560E7A"/>
    <w:rsid w:val="0056332E"/>
    <w:rsid w:val="00563879"/>
    <w:rsid w:val="00563E82"/>
    <w:rsid w:val="0056776F"/>
    <w:rsid w:val="00574EEB"/>
    <w:rsid w:val="00582168"/>
    <w:rsid w:val="00583409"/>
    <w:rsid w:val="00584566"/>
    <w:rsid w:val="00586883"/>
    <w:rsid w:val="0059153E"/>
    <w:rsid w:val="00594138"/>
    <w:rsid w:val="005A7D0C"/>
    <w:rsid w:val="005B6B24"/>
    <w:rsid w:val="005C2935"/>
    <w:rsid w:val="005C3CFE"/>
    <w:rsid w:val="005C6904"/>
    <w:rsid w:val="005D1225"/>
    <w:rsid w:val="005D41CD"/>
    <w:rsid w:val="005D6CDE"/>
    <w:rsid w:val="005D7950"/>
    <w:rsid w:val="005E046C"/>
    <w:rsid w:val="005E4655"/>
    <w:rsid w:val="005E6D89"/>
    <w:rsid w:val="005F2280"/>
    <w:rsid w:val="00602533"/>
    <w:rsid w:val="0060263E"/>
    <w:rsid w:val="00607D6A"/>
    <w:rsid w:val="006121CA"/>
    <w:rsid w:val="00616DF1"/>
    <w:rsid w:val="00620373"/>
    <w:rsid w:val="00621BCF"/>
    <w:rsid w:val="00625168"/>
    <w:rsid w:val="00626903"/>
    <w:rsid w:val="00627BF2"/>
    <w:rsid w:val="006346B2"/>
    <w:rsid w:val="00636892"/>
    <w:rsid w:val="00642108"/>
    <w:rsid w:val="0064655B"/>
    <w:rsid w:val="00651FB3"/>
    <w:rsid w:val="006536B2"/>
    <w:rsid w:val="006545D4"/>
    <w:rsid w:val="00654AA0"/>
    <w:rsid w:val="0065703C"/>
    <w:rsid w:val="00670910"/>
    <w:rsid w:val="00672C94"/>
    <w:rsid w:val="00672E9A"/>
    <w:rsid w:val="006745D2"/>
    <w:rsid w:val="006767CC"/>
    <w:rsid w:val="00686B18"/>
    <w:rsid w:val="00694F8C"/>
    <w:rsid w:val="00695BCF"/>
    <w:rsid w:val="00697381"/>
    <w:rsid w:val="006A0CF5"/>
    <w:rsid w:val="006A174E"/>
    <w:rsid w:val="006A3A4F"/>
    <w:rsid w:val="006A3FD9"/>
    <w:rsid w:val="006B09A4"/>
    <w:rsid w:val="006B6556"/>
    <w:rsid w:val="006C1D49"/>
    <w:rsid w:val="006C5729"/>
    <w:rsid w:val="006C6152"/>
    <w:rsid w:val="006D1F1E"/>
    <w:rsid w:val="006D2492"/>
    <w:rsid w:val="006D2F71"/>
    <w:rsid w:val="006D45A6"/>
    <w:rsid w:val="006E324B"/>
    <w:rsid w:val="006E3B28"/>
    <w:rsid w:val="006E6C25"/>
    <w:rsid w:val="006F3927"/>
    <w:rsid w:val="006F76D3"/>
    <w:rsid w:val="00700084"/>
    <w:rsid w:val="00705479"/>
    <w:rsid w:val="007174ED"/>
    <w:rsid w:val="00720A8F"/>
    <w:rsid w:val="0072290C"/>
    <w:rsid w:val="0073281B"/>
    <w:rsid w:val="00734DFF"/>
    <w:rsid w:val="007501A7"/>
    <w:rsid w:val="007566A6"/>
    <w:rsid w:val="00756885"/>
    <w:rsid w:val="007605BD"/>
    <w:rsid w:val="007644CD"/>
    <w:rsid w:val="0076501F"/>
    <w:rsid w:val="00767241"/>
    <w:rsid w:val="0077120D"/>
    <w:rsid w:val="00773592"/>
    <w:rsid w:val="0077469F"/>
    <w:rsid w:val="00782A34"/>
    <w:rsid w:val="00787FD1"/>
    <w:rsid w:val="00791218"/>
    <w:rsid w:val="007A029B"/>
    <w:rsid w:val="007B1155"/>
    <w:rsid w:val="007C4366"/>
    <w:rsid w:val="007D1B40"/>
    <w:rsid w:val="007E358F"/>
    <w:rsid w:val="007E79DA"/>
    <w:rsid w:val="007F1416"/>
    <w:rsid w:val="007F1508"/>
    <w:rsid w:val="007F382E"/>
    <w:rsid w:val="007F7356"/>
    <w:rsid w:val="007F76B8"/>
    <w:rsid w:val="00810DFC"/>
    <w:rsid w:val="008133C9"/>
    <w:rsid w:val="00813E92"/>
    <w:rsid w:val="008164B5"/>
    <w:rsid w:val="00822C86"/>
    <w:rsid w:val="00825111"/>
    <w:rsid w:val="00825CC7"/>
    <w:rsid w:val="00826BF1"/>
    <w:rsid w:val="00832EC8"/>
    <w:rsid w:val="00840FFF"/>
    <w:rsid w:val="008427C4"/>
    <w:rsid w:val="0084284C"/>
    <w:rsid w:val="00842D8B"/>
    <w:rsid w:val="008645CD"/>
    <w:rsid w:val="00866CD3"/>
    <w:rsid w:val="0087032D"/>
    <w:rsid w:val="00876A38"/>
    <w:rsid w:val="0088232A"/>
    <w:rsid w:val="0088530F"/>
    <w:rsid w:val="00891F9F"/>
    <w:rsid w:val="0089401F"/>
    <w:rsid w:val="00896098"/>
    <w:rsid w:val="008967F6"/>
    <w:rsid w:val="008A0437"/>
    <w:rsid w:val="008A0888"/>
    <w:rsid w:val="008A7954"/>
    <w:rsid w:val="008B105C"/>
    <w:rsid w:val="008B3CAC"/>
    <w:rsid w:val="008B5561"/>
    <w:rsid w:val="008B569D"/>
    <w:rsid w:val="008B7370"/>
    <w:rsid w:val="008C1787"/>
    <w:rsid w:val="008C1E05"/>
    <w:rsid w:val="008C245D"/>
    <w:rsid w:val="008C3B48"/>
    <w:rsid w:val="008C6BE9"/>
    <w:rsid w:val="008D1CF3"/>
    <w:rsid w:val="008D24E0"/>
    <w:rsid w:val="008D70D7"/>
    <w:rsid w:val="008E59C2"/>
    <w:rsid w:val="008E6F4D"/>
    <w:rsid w:val="008F06CE"/>
    <w:rsid w:val="00905781"/>
    <w:rsid w:val="009067AE"/>
    <w:rsid w:val="00925101"/>
    <w:rsid w:val="00925942"/>
    <w:rsid w:val="009267A0"/>
    <w:rsid w:val="00936A70"/>
    <w:rsid w:val="00940997"/>
    <w:rsid w:val="00961DC4"/>
    <w:rsid w:val="00962F42"/>
    <w:rsid w:val="00963738"/>
    <w:rsid w:val="00966D42"/>
    <w:rsid w:val="009677D7"/>
    <w:rsid w:val="00967A66"/>
    <w:rsid w:val="00970F5A"/>
    <w:rsid w:val="0097402B"/>
    <w:rsid w:val="009744FB"/>
    <w:rsid w:val="00976B27"/>
    <w:rsid w:val="009811CD"/>
    <w:rsid w:val="0098232A"/>
    <w:rsid w:val="0098408C"/>
    <w:rsid w:val="00986777"/>
    <w:rsid w:val="00986DA7"/>
    <w:rsid w:val="00995FF3"/>
    <w:rsid w:val="009A285D"/>
    <w:rsid w:val="009A492E"/>
    <w:rsid w:val="009A499E"/>
    <w:rsid w:val="009A6D43"/>
    <w:rsid w:val="009B6116"/>
    <w:rsid w:val="009B737D"/>
    <w:rsid w:val="009C4434"/>
    <w:rsid w:val="009C688A"/>
    <w:rsid w:val="009D06E3"/>
    <w:rsid w:val="009D1DD4"/>
    <w:rsid w:val="009D3ECF"/>
    <w:rsid w:val="009D40A1"/>
    <w:rsid w:val="009D4B62"/>
    <w:rsid w:val="009D7854"/>
    <w:rsid w:val="009E7C66"/>
    <w:rsid w:val="009E7D1E"/>
    <w:rsid w:val="009F2C64"/>
    <w:rsid w:val="009F2DB3"/>
    <w:rsid w:val="009F4F4C"/>
    <w:rsid w:val="009F50C2"/>
    <w:rsid w:val="00A00768"/>
    <w:rsid w:val="00A00BA4"/>
    <w:rsid w:val="00A02518"/>
    <w:rsid w:val="00A02A51"/>
    <w:rsid w:val="00A037FC"/>
    <w:rsid w:val="00A0521C"/>
    <w:rsid w:val="00A05E9E"/>
    <w:rsid w:val="00A143AD"/>
    <w:rsid w:val="00A14F0D"/>
    <w:rsid w:val="00A153D6"/>
    <w:rsid w:val="00A17CA1"/>
    <w:rsid w:val="00A30E0F"/>
    <w:rsid w:val="00A31529"/>
    <w:rsid w:val="00A31DFA"/>
    <w:rsid w:val="00A33ACA"/>
    <w:rsid w:val="00A33B70"/>
    <w:rsid w:val="00A33DAF"/>
    <w:rsid w:val="00A346ED"/>
    <w:rsid w:val="00A355BB"/>
    <w:rsid w:val="00A35DA3"/>
    <w:rsid w:val="00A40289"/>
    <w:rsid w:val="00A4373D"/>
    <w:rsid w:val="00A47937"/>
    <w:rsid w:val="00A50B00"/>
    <w:rsid w:val="00A55A29"/>
    <w:rsid w:val="00A61940"/>
    <w:rsid w:val="00A6269C"/>
    <w:rsid w:val="00A702E5"/>
    <w:rsid w:val="00A728BA"/>
    <w:rsid w:val="00A73760"/>
    <w:rsid w:val="00A87F20"/>
    <w:rsid w:val="00A906AD"/>
    <w:rsid w:val="00A906FC"/>
    <w:rsid w:val="00A97A28"/>
    <w:rsid w:val="00AA1968"/>
    <w:rsid w:val="00AA317A"/>
    <w:rsid w:val="00AA76AE"/>
    <w:rsid w:val="00AB789D"/>
    <w:rsid w:val="00AC051B"/>
    <w:rsid w:val="00AC210B"/>
    <w:rsid w:val="00AC449B"/>
    <w:rsid w:val="00AD6584"/>
    <w:rsid w:val="00AF2290"/>
    <w:rsid w:val="00B00238"/>
    <w:rsid w:val="00B01AC3"/>
    <w:rsid w:val="00B02388"/>
    <w:rsid w:val="00B04DE7"/>
    <w:rsid w:val="00B0535E"/>
    <w:rsid w:val="00B063C4"/>
    <w:rsid w:val="00B108FD"/>
    <w:rsid w:val="00B10931"/>
    <w:rsid w:val="00B25188"/>
    <w:rsid w:val="00B25413"/>
    <w:rsid w:val="00B27326"/>
    <w:rsid w:val="00B34A1A"/>
    <w:rsid w:val="00B444A4"/>
    <w:rsid w:val="00B55EA1"/>
    <w:rsid w:val="00B60839"/>
    <w:rsid w:val="00B616AF"/>
    <w:rsid w:val="00B6219C"/>
    <w:rsid w:val="00B6351F"/>
    <w:rsid w:val="00B64CB0"/>
    <w:rsid w:val="00B66338"/>
    <w:rsid w:val="00B71844"/>
    <w:rsid w:val="00B71866"/>
    <w:rsid w:val="00B731E3"/>
    <w:rsid w:val="00B801C7"/>
    <w:rsid w:val="00B826DD"/>
    <w:rsid w:val="00B83F95"/>
    <w:rsid w:val="00B86D7D"/>
    <w:rsid w:val="00B903B4"/>
    <w:rsid w:val="00B927FB"/>
    <w:rsid w:val="00B97348"/>
    <w:rsid w:val="00BA2C1C"/>
    <w:rsid w:val="00BA31CA"/>
    <w:rsid w:val="00BA3CEF"/>
    <w:rsid w:val="00BB3E56"/>
    <w:rsid w:val="00BB5047"/>
    <w:rsid w:val="00BB6EEE"/>
    <w:rsid w:val="00BC1A8A"/>
    <w:rsid w:val="00BC2EA1"/>
    <w:rsid w:val="00BC6421"/>
    <w:rsid w:val="00BD2DF1"/>
    <w:rsid w:val="00BD70D8"/>
    <w:rsid w:val="00BE125A"/>
    <w:rsid w:val="00BE5083"/>
    <w:rsid w:val="00BE52CA"/>
    <w:rsid w:val="00BE6C85"/>
    <w:rsid w:val="00BF2524"/>
    <w:rsid w:val="00BF6448"/>
    <w:rsid w:val="00BF6EDC"/>
    <w:rsid w:val="00C0151E"/>
    <w:rsid w:val="00C021EA"/>
    <w:rsid w:val="00C04A94"/>
    <w:rsid w:val="00C05ED1"/>
    <w:rsid w:val="00C07609"/>
    <w:rsid w:val="00C17A90"/>
    <w:rsid w:val="00C20665"/>
    <w:rsid w:val="00C2182E"/>
    <w:rsid w:val="00C22A27"/>
    <w:rsid w:val="00C255E0"/>
    <w:rsid w:val="00C31B7B"/>
    <w:rsid w:val="00C334FB"/>
    <w:rsid w:val="00C349A4"/>
    <w:rsid w:val="00C37B3B"/>
    <w:rsid w:val="00C37FF4"/>
    <w:rsid w:val="00C41776"/>
    <w:rsid w:val="00C45C58"/>
    <w:rsid w:val="00C47134"/>
    <w:rsid w:val="00C523E0"/>
    <w:rsid w:val="00C5500A"/>
    <w:rsid w:val="00C56784"/>
    <w:rsid w:val="00C56D97"/>
    <w:rsid w:val="00C57CB1"/>
    <w:rsid w:val="00C645D8"/>
    <w:rsid w:val="00C75F99"/>
    <w:rsid w:val="00C85903"/>
    <w:rsid w:val="00C96ACC"/>
    <w:rsid w:val="00C96E38"/>
    <w:rsid w:val="00C9797B"/>
    <w:rsid w:val="00CA1261"/>
    <w:rsid w:val="00CA4E61"/>
    <w:rsid w:val="00CA6376"/>
    <w:rsid w:val="00CB0D74"/>
    <w:rsid w:val="00CB0DFC"/>
    <w:rsid w:val="00CB49FA"/>
    <w:rsid w:val="00CB4AB3"/>
    <w:rsid w:val="00CC09FE"/>
    <w:rsid w:val="00CD148C"/>
    <w:rsid w:val="00CD2AAF"/>
    <w:rsid w:val="00CD597D"/>
    <w:rsid w:val="00CD7DD1"/>
    <w:rsid w:val="00CE25E6"/>
    <w:rsid w:val="00CE4FD8"/>
    <w:rsid w:val="00CE76E2"/>
    <w:rsid w:val="00CF0415"/>
    <w:rsid w:val="00CF334A"/>
    <w:rsid w:val="00D05033"/>
    <w:rsid w:val="00D15995"/>
    <w:rsid w:val="00D1617C"/>
    <w:rsid w:val="00D20310"/>
    <w:rsid w:val="00D22E93"/>
    <w:rsid w:val="00D251FF"/>
    <w:rsid w:val="00D3482F"/>
    <w:rsid w:val="00D3507E"/>
    <w:rsid w:val="00D431EE"/>
    <w:rsid w:val="00D471B8"/>
    <w:rsid w:val="00D52363"/>
    <w:rsid w:val="00D541F2"/>
    <w:rsid w:val="00D60B6A"/>
    <w:rsid w:val="00D663A9"/>
    <w:rsid w:val="00D67900"/>
    <w:rsid w:val="00D72B35"/>
    <w:rsid w:val="00D72C5D"/>
    <w:rsid w:val="00D77D93"/>
    <w:rsid w:val="00D81200"/>
    <w:rsid w:val="00D87394"/>
    <w:rsid w:val="00D901D3"/>
    <w:rsid w:val="00D9547F"/>
    <w:rsid w:val="00DA1EEA"/>
    <w:rsid w:val="00DA21C5"/>
    <w:rsid w:val="00DA3122"/>
    <w:rsid w:val="00DB4B29"/>
    <w:rsid w:val="00DB5970"/>
    <w:rsid w:val="00DC2130"/>
    <w:rsid w:val="00DC2E28"/>
    <w:rsid w:val="00DD15CA"/>
    <w:rsid w:val="00DD25E2"/>
    <w:rsid w:val="00DD2CA9"/>
    <w:rsid w:val="00DD2D12"/>
    <w:rsid w:val="00DD37E6"/>
    <w:rsid w:val="00DD5BA7"/>
    <w:rsid w:val="00DD60AB"/>
    <w:rsid w:val="00DE38DD"/>
    <w:rsid w:val="00DE3BA9"/>
    <w:rsid w:val="00DE54A4"/>
    <w:rsid w:val="00DE5C68"/>
    <w:rsid w:val="00DF38D7"/>
    <w:rsid w:val="00DF77FE"/>
    <w:rsid w:val="00DF7E08"/>
    <w:rsid w:val="00E01DB7"/>
    <w:rsid w:val="00E068EB"/>
    <w:rsid w:val="00E21BCD"/>
    <w:rsid w:val="00E232BC"/>
    <w:rsid w:val="00E234E6"/>
    <w:rsid w:val="00E23C22"/>
    <w:rsid w:val="00E23D1E"/>
    <w:rsid w:val="00E24D3A"/>
    <w:rsid w:val="00E24F41"/>
    <w:rsid w:val="00E279C2"/>
    <w:rsid w:val="00E323B0"/>
    <w:rsid w:val="00E455B4"/>
    <w:rsid w:val="00E45832"/>
    <w:rsid w:val="00E6144F"/>
    <w:rsid w:val="00E61BBA"/>
    <w:rsid w:val="00E62529"/>
    <w:rsid w:val="00E6376B"/>
    <w:rsid w:val="00E744E2"/>
    <w:rsid w:val="00E749D9"/>
    <w:rsid w:val="00E75003"/>
    <w:rsid w:val="00E836DA"/>
    <w:rsid w:val="00E8563A"/>
    <w:rsid w:val="00E86E85"/>
    <w:rsid w:val="00E96B63"/>
    <w:rsid w:val="00E97086"/>
    <w:rsid w:val="00EA2D28"/>
    <w:rsid w:val="00EA349A"/>
    <w:rsid w:val="00EA607D"/>
    <w:rsid w:val="00EB430D"/>
    <w:rsid w:val="00EB69D3"/>
    <w:rsid w:val="00EC00F7"/>
    <w:rsid w:val="00EC010A"/>
    <w:rsid w:val="00EC2265"/>
    <w:rsid w:val="00EC4C2C"/>
    <w:rsid w:val="00ED69B7"/>
    <w:rsid w:val="00ED7871"/>
    <w:rsid w:val="00EE1543"/>
    <w:rsid w:val="00EE7DCD"/>
    <w:rsid w:val="00EF2157"/>
    <w:rsid w:val="00EF4674"/>
    <w:rsid w:val="00F03A3A"/>
    <w:rsid w:val="00F04E9F"/>
    <w:rsid w:val="00F12904"/>
    <w:rsid w:val="00F13348"/>
    <w:rsid w:val="00F14EF2"/>
    <w:rsid w:val="00F1528F"/>
    <w:rsid w:val="00F17CE7"/>
    <w:rsid w:val="00F21077"/>
    <w:rsid w:val="00F21CD6"/>
    <w:rsid w:val="00F30116"/>
    <w:rsid w:val="00F30E16"/>
    <w:rsid w:val="00F30E76"/>
    <w:rsid w:val="00F31B82"/>
    <w:rsid w:val="00F331B5"/>
    <w:rsid w:val="00F415CD"/>
    <w:rsid w:val="00F453BC"/>
    <w:rsid w:val="00F4618E"/>
    <w:rsid w:val="00F46517"/>
    <w:rsid w:val="00F47F73"/>
    <w:rsid w:val="00F505A6"/>
    <w:rsid w:val="00F52402"/>
    <w:rsid w:val="00F52EA3"/>
    <w:rsid w:val="00F5318C"/>
    <w:rsid w:val="00F535CB"/>
    <w:rsid w:val="00F54016"/>
    <w:rsid w:val="00F55D50"/>
    <w:rsid w:val="00F61A1A"/>
    <w:rsid w:val="00F62AC1"/>
    <w:rsid w:val="00F6426C"/>
    <w:rsid w:val="00F64645"/>
    <w:rsid w:val="00F67BAD"/>
    <w:rsid w:val="00F70134"/>
    <w:rsid w:val="00F76B23"/>
    <w:rsid w:val="00F809AF"/>
    <w:rsid w:val="00F81766"/>
    <w:rsid w:val="00F87941"/>
    <w:rsid w:val="00F93B56"/>
    <w:rsid w:val="00FA22C0"/>
    <w:rsid w:val="00FA388F"/>
    <w:rsid w:val="00FA4B9B"/>
    <w:rsid w:val="00FB3D39"/>
    <w:rsid w:val="00FB7B4C"/>
    <w:rsid w:val="00FC0033"/>
    <w:rsid w:val="00FC1B7E"/>
    <w:rsid w:val="00FC1E06"/>
    <w:rsid w:val="00FC5A6D"/>
    <w:rsid w:val="00FC61B6"/>
    <w:rsid w:val="00FD0261"/>
    <w:rsid w:val="00FD258D"/>
    <w:rsid w:val="00FD716B"/>
    <w:rsid w:val="00FE01D8"/>
    <w:rsid w:val="00FE042E"/>
    <w:rsid w:val="00FE0F29"/>
    <w:rsid w:val="00FF536E"/>
    <w:rsid w:val="00FF5F70"/>
    <w:rsid w:val="01147B6F"/>
    <w:rsid w:val="017D41C5"/>
    <w:rsid w:val="039D1EBD"/>
    <w:rsid w:val="03EC28BF"/>
    <w:rsid w:val="04016500"/>
    <w:rsid w:val="04BB7774"/>
    <w:rsid w:val="05086143"/>
    <w:rsid w:val="053F1607"/>
    <w:rsid w:val="0557136F"/>
    <w:rsid w:val="05FF76DF"/>
    <w:rsid w:val="06490220"/>
    <w:rsid w:val="067E755E"/>
    <w:rsid w:val="075E5980"/>
    <w:rsid w:val="07901F60"/>
    <w:rsid w:val="07DA1141"/>
    <w:rsid w:val="08A37ADC"/>
    <w:rsid w:val="08AA75DA"/>
    <w:rsid w:val="09FE334C"/>
    <w:rsid w:val="0A5126C8"/>
    <w:rsid w:val="0AA724BC"/>
    <w:rsid w:val="0B8C4A6F"/>
    <w:rsid w:val="0BA510CD"/>
    <w:rsid w:val="0BBB6ABB"/>
    <w:rsid w:val="0BF54F84"/>
    <w:rsid w:val="0E850DB2"/>
    <w:rsid w:val="0EAB1F54"/>
    <w:rsid w:val="0F767B74"/>
    <w:rsid w:val="0F983C63"/>
    <w:rsid w:val="10963642"/>
    <w:rsid w:val="12BF0058"/>
    <w:rsid w:val="13875DFE"/>
    <w:rsid w:val="13933519"/>
    <w:rsid w:val="13CD4080"/>
    <w:rsid w:val="14031B7D"/>
    <w:rsid w:val="14083DB7"/>
    <w:rsid w:val="148777B6"/>
    <w:rsid w:val="152B2F66"/>
    <w:rsid w:val="15A856FE"/>
    <w:rsid w:val="16580124"/>
    <w:rsid w:val="16C32854"/>
    <w:rsid w:val="17132EC9"/>
    <w:rsid w:val="1814030C"/>
    <w:rsid w:val="19761906"/>
    <w:rsid w:val="19B11991"/>
    <w:rsid w:val="1A0C5F9E"/>
    <w:rsid w:val="1A291F52"/>
    <w:rsid w:val="1A2A471E"/>
    <w:rsid w:val="1A9353D0"/>
    <w:rsid w:val="1AE80C3C"/>
    <w:rsid w:val="1AF14CFB"/>
    <w:rsid w:val="1B51731D"/>
    <w:rsid w:val="1D9847FD"/>
    <w:rsid w:val="1DAB1A98"/>
    <w:rsid w:val="1DD30A70"/>
    <w:rsid w:val="1E043B96"/>
    <w:rsid w:val="20AC79D0"/>
    <w:rsid w:val="20E3083D"/>
    <w:rsid w:val="220411A6"/>
    <w:rsid w:val="22B16830"/>
    <w:rsid w:val="23696CAB"/>
    <w:rsid w:val="23A215D5"/>
    <w:rsid w:val="24570E8B"/>
    <w:rsid w:val="245A6C1B"/>
    <w:rsid w:val="24D603C4"/>
    <w:rsid w:val="26BB4F81"/>
    <w:rsid w:val="27C42A87"/>
    <w:rsid w:val="27C83F3C"/>
    <w:rsid w:val="27F9343C"/>
    <w:rsid w:val="28350082"/>
    <w:rsid w:val="28E45A28"/>
    <w:rsid w:val="293D3C12"/>
    <w:rsid w:val="2A750C8A"/>
    <w:rsid w:val="2A9A3082"/>
    <w:rsid w:val="2B70732C"/>
    <w:rsid w:val="2C046919"/>
    <w:rsid w:val="2C8201C1"/>
    <w:rsid w:val="2CA52F75"/>
    <w:rsid w:val="2CDE08A7"/>
    <w:rsid w:val="2D2263AB"/>
    <w:rsid w:val="2DA60935"/>
    <w:rsid w:val="2E6D2422"/>
    <w:rsid w:val="2ECD7A49"/>
    <w:rsid w:val="2F3E5668"/>
    <w:rsid w:val="2FB247CC"/>
    <w:rsid w:val="306E6F24"/>
    <w:rsid w:val="30DD0246"/>
    <w:rsid w:val="313609CE"/>
    <w:rsid w:val="318872B4"/>
    <w:rsid w:val="33513C0C"/>
    <w:rsid w:val="35B93C0F"/>
    <w:rsid w:val="360775C9"/>
    <w:rsid w:val="36A95869"/>
    <w:rsid w:val="37825495"/>
    <w:rsid w:val="38362920"/>
    <w:rsid w:val="389E6386"/>
    <w:rsid w:val="38F0321C"/>
    <w:rsid w:val="39190678"/>
    <w:rsid w:val="3982749B"/>
    <w:rsid w:val="3B9E1041"/>
    <w:rsid w:val="3C0B26E7"/>
    <w:rsid w:val="3CC23F86"/>
    <w:rsid w:val="3D0A7E0F"/>
    <w:rsid w:val="3D110341"/>
    <w:rsid w:val="3D842E88"/>
    <w:rsid w:val="3FA877F5"/>
    <w:rsid w:val="41D90377"/>
    <w:rsid w:val="42147C40"/>
    <w:rsid w:val="423909E7"/>
    <w:rsid w:val="43036B42"/>
    <w:rsid w:val="44AE31E2"/>
    <w:rsid w:val="453F25E4"/>
    <w:rsid w:val="456A5F7B"/>
    <w:rsid w:val="45D11884"/>
    <w:rsid w:val="45D40507"/>
    <w:rsid w:val="464D5AD4"/>
    <w:rsid w:val="477C6EE5"/>
    <w:rsid w:val="47BE7531"/>
    <w:rsid w:val="480B344B"/>
    <w:rsid w:val="480E7ED9"/>
    <w:rsid w:val="481E07F4"/>
    <w:rsid w:val="48B6745F"/>
    <w:rsid w:val="48D134BC"/>
    <w:rsid w:val="49080971"/>
    <w:rsid w:val="4A2F15FC"/>
    <w:rsid w:val="4A722DC2"/>
    <w:rsid w:val="4ADE1ACC"/>
    <w:rsid w:val="4B110C3D"/>
    <w:rsid w:val="4B2D0A7C"/>
    <w:rsid w:val="4B7C631C"/>
    <w:rsid w:val="4C990D04"/>
    <w:rsid w:val="4CF42506"/>
    <w:rsid w:val="4D383863"/>
    <w:rsid w:val="4D864E12"/>
    <w:rsid w:val="4E4211BB"/>
    <w:rsid w:val="4ED061C4"/>
    <w:rsid w:val="4F3E0B8D"/>
    <w:rsid w:val="4F430AFD"/>
    <w:rsid w:val="4F4F72B1"/>
    <w:rsid w:val="4FBA58DC"/>
    <w:rsid w:val="50130241"/>
    <w:rsid w:val="505307A2"/>
    <w:rsid w:val="510C7062"/>
    <w:rsid w:val="527E5138"/>
    <w:rsid w:val="52AE1037"/>
    <w:rsid w:val="52E97369"/>
    <w:rsid w:val="545F5EEA"/>
    <w:rsid w:val="55F53B24"/>
    <w:rsid w:val="57AF5FBE"/>
    <w:rsid w:val="588423E8"/>
    <w:rsid w:val="58B721FF"/>
    <w:rsid w:val="5A676F08"/>
    <w:rsid w:val="5CAD16D9"/>
    <w:rsid w:val="5D116B9F"/>
    <w:rsid w:val="5E0401E9"/>
    <w:rsid w:val="615B10A8"/>
    <w:rsid w:val="61C71646"/>
    <w:rsid w:val="635F0DBA"/>
    <w:rsid w:val="641F679C"/>
    <w:rsid w:val="64384669"/>
    <w:rsid w:val="646A69E9"/>
    <w:rsid w:val="64C979C7"/>
    <w:rsid w:val="64CB69D1"/>
    <w:rsid w:val="653E357E"/>
    <w:rsid w:val="663A275D"/>
    <w:rsid w:val="673F5F21"/>
    <w:rsid w:val="675F7F21"/>
    <w:rsid w:val="6859126D"/>
    <w:rsid w:val="688E43A2"/>
    <w:rsid w:val="68D91721"/>
    <w:rsid w:val="68F92AA1"/>
    <w:rsid w:val="690F79D9"/>
    <w:rsid w:val="69E362FD"/>
    <w:rsid w:val="6A840D45"/>
    <w:rsid w:val="6AE55DC5"/>
    <w:rsid w:val="6B043065"/>
    <w:rsid w:val="6B0A5F53"/>
    <w:rsid w:val="6B9E5843"/>
    <w:rsid w:val="6BB07794"/>
    <w:rsid w:val="6C24452E"/>
    <w:rsid w:val="6CFB2CA4"/>
    <w:rsid w:val="6D7C1B43"/>
    <w:rsid w:val="6EED5D2D"/>
    <w:rsid w:val="70130FDB"/>
    <w:rsid w:val="70FB5BA1"/>
    <w:rsid w:val="71567695"/>
    <w:rsid w:val="71627084"/>
    <w:rsid w:val="718B3AE3"/>
    <w:rsid w:val="72316EE0"/>
    <w:rsid w:val="72B41CC9"/>
    <w:rsid w:val="73036250"/>
    <w:rsid w:val="731F6CA0"/>
    <w:rsid w:val="74636654"/>
    <w:rsid w:val="77A7666C"/>
    <w:rsid w:val="7884648A"/>
    <w:rsid w:val="789B2D12"/>
    <w:rsid w:val="78DA6000"/>
    <w:rsid w:val="78F83061"/>
    <w:rsid w:val="79D734A0"/>
    <w:rsid w:val="7A531C7C"/>
    <w:rsid w:val="7B0F6E33"/>
    <w:rsid w:val="7B2903FE"/>
    <w:rsid w:val="7B566030"/>
    <w:rsid w:val="7C0A7200"/>
    <w:rsid w:val="7DF87576"/>
    <w:rsid w:val="7E99645A"/>
    <w:rsid w:val="7FA0016F"/>
    <w:rsid w:val="7FBF60EF"/>
    <w:rsid w:val="7FEF4CB8"/>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lock Text"/>
    <w:basedOn w:val="1"/>
    <w:unhideWhenUsed/>
    <w:qFormat/>
    <w:uiPriority w:val="99"/>
    <w:pPr>
      <w:autoSpaceDE w:val="0"/>
      <w:autoSpaceDN w:val="0"/>
      <w:adjustRightInd w:val="0"/>
      <w:spacing w:before="1" w:after="100" w:afterAutospacing="1" w:line="537" w:lineRule="exact"/>
      <w:ind w:left="88" w:right="6"/>
    </w:pPr>
    <w:rPr>
      <w:rFonts w:cs="宋体"/>
      <w:kern w:val="0"/>
      <w:szCs w:val="21"/>
    </w:rPr>
  </w:style>
  <w:style w:type="paragraph" w:styleId="3">
    <w:name w:val="annotation text"/>
    <w:basedOn w:val="1"/>
    <w:qFormat/>
    <w:uiPriority w:val="0"/>
    <w:pPr>
      <w:jc w:val="left"/>
    </w:pPr>
  </w:style>
  <w:style w:type="paragraph" w:styleId="4">
    <w:name w:val="Body Text Indent"/>
    <w:basedOn w:val="1"/>
    <w:qFormat/>
    <w:uiPriority w:val="0"/>
    <w:pPr>
      <w:spacing w:line="360" w:lineRule="auto"/>
      <w:ind w:firstLine="480" w:firstLineChars="200"/>
    </w:pPr>
    <w:rPr>
      <w:bCs/>
      <w:sz w:val="24"/>
      <w:szCs w:val="20"/>
    </w:rPr>
  </w:style>
  <w:style w:type="paragraph" w:styleId="5">
    <w:name w:val="Plain Text"/>
    <w:basedOn w:val="1"/>
    <w:qFormat/>
    <w:uiPriority w:val="0"/>
    <w:rPr>
      <w:rFonts w:ascii="宋体" w:hAnsi="Courier New"/>
    </w:rPr>
  </w:style>
  <w:style w:type="paragraph" w:styleId="6">
    <w:name w:val="Date"/>
    <w:basedOn w:val="1"/>
    <w:next w:val="1"/>
    <w:qFormat/>
    <w:uiPriority w:val="0"/>
    <w:rPr>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jc w:val="left"/>
    </w:pPr>
    <w:rPr>
      <w:rFonts w:cs="Times New Roman"/>
      <w:kern w:val="0"/>
      <w:sz w:val="24"/>
    </w:rPr>
  </w:style>
  <w:style w:type="paragraph" w:styleId="10">
    <w:name w:val="index 1"/>
    <w:basedOn w:val="1"/>
    <w:next w:val="1"/>
    <w:qFormat/>
    <w:uiPriority w:val="0"/>
    <w:pPr>
      <w:spacing w:line="300" w:lineRule="exact"/>
    </w:pPr>
    <w:rPr>
      <w:rFonts w:ascii="宋体" w:hAnsi="宋体"/>
      <w:spacing w:val="1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FollowedHyperlink"/>
    <w:basedOn w:val="13"/>
    <w:qFormat/>
    <w:uiPriority w:val="0"/>
    <w:rPr>
      <w:color w:val="800080"/>
      <w:u w:val="none"/>
    </w:rPr>
  </w:style>
  <w:style w:type="character" w:styleId="16">
    <w:name w:val="HTML Definition"/>
    <w:basedOn w:val="13"/>
    <w:qFormat/>
    <w:uiPriority w:val="0"/>
  </w:style>
  <w:style w:type="character" w:styleId="17">
    <w:name w:val="HTML Acronym"/>
    <w:basedOn w:val="13"/>
    <w:qFormat/>
    <w:uiPriority w:val="0"/>
  </w:style>
  <w:style w:type="character" w:styleId="18">
    <w:name w:val="HTML Variable"/>
    <w:basedOn w:val="13"/>
    <w:qFormat/>
    <w:uiPriority w:val="0"/>
  </w:style>
  <w:style w:type="character" w:styleId="19">
    <w:name w:val="Hyperlink"/>
    <w:basedOn w:val="13"/>
    <w:qFormat/>
    <w:uiPriority w:val="0"/>
    <w:rPr>
      <w:color w:val="0000FF"/>
      <w:u w:val="none"/>
    </w:rPr>
  </w:style>
  <w:style w:type="character" w:styleId="20">
    <w:name w:val="HTML Code"/>
    <w:basedOn w:val="13"/>
    <w:qFormat/>
    <w:uiPriority w:val="0"/>
    <w:rPr>
      <w:rFonts w:ascii="Courier New" w:hAnsi="Courier New"/>
      <w:sz w:val="20"/>
    </w:rPr>
  </w:style>
  <w:style w:type="character" w:styleId="21">
    <w:name w:val="HTML Cite"/>
    <w:basedOn w:val="13"/>
    <w:qFormat/>
    <w:uiPriority w:val="0"/>
  </w:style>
  <w:style w:type="paragraph" w:customStyle="1" w:styleId="22">
    <w:name w:val="_Style 5"/>
    <w:basedOn w:val="1"/>
    <w:qFormat/>
    <w:uiPriority w:val="0"/>
    <w:pPr>
      <w:ind w:firstLine="420" w:firstLineChars="200"/>
    </w:pPr>
  </w:style>
  <w:style w:type="paragraph" w:customStyle="1" w:styleId="23">
    <w:name w:val="二级无标题条"/>
    <w:basedOn w:val="1"/>
    <w:qFormat/>
    <w:uiPriority w:val="0"/>
  </w:style>
  <w:style w:type="paragraph" w:customStyle="1" w:styleId="24">
    <w:name w:val="宏福4"/>
    <w:basedOn w:val="1"/>
    <w:qFormat/>
    <w:uiPriority w:val="0"/>
    <w:pPr>
      <w:adjustRightInd w:val="0"/>
      <w:spacing w:line="400" w:lineRule="atLeast"/>
      <w:ind w:firstLine="567"/>
      <w:jc w:val="left"/>
      <w:textAlignment w:val="baseline"/>
    </w:pPr>
    <w:rPr>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225D3-BB95-4C62-B1CF-C343BB8F0BA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1158</Words>
  <Characters>6601</Characters>
  <Lines>55</Lines>
  <Paragraphs>15</Paragraphs>
  <TotalTime>2</TotalTime>
  <ScaleCrop>false</ScaleCrop>
  <LinksUpToDate>false</LinksUpToDate>
  <CharactersWithSpaces>7744</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2016-04-06T01:57:00Z</dcterms:created>
  <dc:creator>Administrator</dc:creator>
  <cp:lastModifiedBy>Administrator</cp:lastModifiedBy>
  <cp:lastPrinted>2016-07-01T06:30:00Z</cp:lastPrinted>
  <dcterms:modified xsi:type="dcterms:W3CDTF">2020-12-03T04:19:38Z</dcterms:modified>
  <dc:title>宜阳县高航加油站迁建项目</dc:title>
  <cp:revision>972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